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504DF" w14:textId="23624DF0" w:rsidR="00102C95" w:rsidRDefault="00102C95" w:rsidP="00102C95">
      <w:pPr>
        <w:jc w:val="center"/>
        <w:rPr>
          <w:rFonts w:cstheme="minorHAnsi"/>
          <w:sz w:val="36"/>
          <w:szCs w:val="36"/>
        </w:rPr>
      </w:pPr>
      <w:r w:rsidRPr="00FC5271">
        <w:rPr>
          <w:rFonts w:cstheme="minorHAnsi"/>
          <w:sz w:val="36"/>
          <w:szCs w:val="36"/>
        </w:rPr>
        <w:t>PRACOVNÝ LIST</w:t>
      </w:r>
    </w:p>
    <w:p w14:paraId="15661ABA" w14:textId="091C0679" w:rsidR="00706B1D" w:rsidRPr="00FC5271" w:rsidRDefault="00102C95" w:rsidP="00706B1D">
      <w:pPr>
        <w:jc w:val="center"/>
        <w:rPr>
          <w:rFonts w:cstheme="minorHAnsi"/>
          <w:sz w:val="36"/>
          <w:szCs w:val="36"/>
        </w:rPr>
      </w:pPr>
      <w:r>
        <w:rPr>
          <w:rFonts w:cstheme="minorHAnsi"/>
          <w:sz w:val="36"/>
          <w:szCs w:val="36"/>
        </w:rPr>
        <w:t>EURÓPSKA ÚNIA</w:t>
      </w:r>
    </w:p>
    <w:p w14:paraId="5BBC3B38" w14:textId="77777777" w:rsidR="00706B1D" w:rsidRDefault="00102C95" w:rsidP="00706B1D">
      <w:pPr>
        <w:pStyle w:val="NormalWeb"/>
        <w:shd w:val="clear" w:color="auto" w:fill="FFFFFF"/>
        <w:spacing w:before="0" w:beforeAutospacing="0" w:after="270" w:afterAutospacing="0"/>
        <w:rPr>
          <w:rFonts w:asciiTheme="minorHAnsi" w:hAnsiTheme="minorHAnsi" w:cstheme="minorHAnsi"/>
          <w:sz w:val="28"/>
          <w:szCs w:val="28"/>
          <w:u w:val="single"/>
        </w:rPr>
      </w:pPr>
      <w:r w:rsidRPr="00D775B3">
        <w:rPr>
          <w:rFonts w:asciiTheme="minorHAnsi" w:hAnsiTheme="minorHAnsi" w:cstheme="minorHAnsi"/>
          <w:sz w:val="28"/>
          <w:szCs w:val="28"/>
          <w:u w:val="single"/>
        </w:rPr>
        <w:t>Prečítaj si text:</w:t>
      </w:r>
    </w:p>
    <w:p w14:paraId="42F520EE" w14:textId="30418E20" w:rsidR="00706B1D" w:rsidRDefault="00706B1D" w:rsidP="00706B1D">
      <w:pPr>
        <w:pStyle w:val="NormalWeb"/>
        <w:shd w:val="clear" w:color="auto" w:fill="FFFFFF"/>
        <w:spacing w:before="0" w:beforeAutospacing="0" w:after="270" w:afterAutospacing="0"/>
        <w:rPr>
          <w:rFonts w:asciiTheme="minorHAnsi" w:hAnsiTheme="minorHAnsi" w:cstheme="minorHAnsi"/>
          <w:sz w:val="28"/>
          <w:szCs w:val="28"/>
        </w:rPr>
      </w:pPr>
      <w:r>
        <w:rPr>
          <w:rFonts w:ascii="Arial" w:hAnsi="Arial" w:cs="Arial"/>
          <w:color w:val="202122"/>
          <w:sz w:val="21"/>
          <w:szCs w:val="21"/>
        </w:rPr>
        <w:br/>
      </w:r>
      <w:r w:rsidRPr="00706B1D">
        <w:rPr>
          <w:rFonts w:asciiTheme="minorHAnsi" w:hAnsiTheme="minorHAnsi" w:cstheme="minorHAnsi"/>
          <w:b/>
          <w:bCs/>
          <w:sz w:val="28"/>
          <w:szCs w:val="28"/>
        </w:rPr>
        <w:t>Európska únia (EÚ)</w:t>
      </w:r>
      <w:r w:rsidRPr="00706B1D">
        <w:rPr>
          <w:rFonts w:asciiTheme="minorHAnsi" w:hAnsiTheme="minorHAnsi" w:cstheme="minorHAnsi"/>
          <w:sz w:val="28"/>
          <w:szCs w:val="28"/>
        </w:rPr>
        <w:t> je integračné zoskupenie, ktoré tvorí 27 </w:t>
      </w:r>
      <w:hyperlink r:id="rId4" w:tooltip="Členovia Európskej únie" w:history="1">
        <w:r w:rsidRPr="00706B1D">
          <w:rPr>
            <w:rStyle w:val="Hyperlink"/>
            <w:rFonts w:asciiTheme="minorHAnsi" w:eastAsiaTheme="majorEastAsia" w:hAnsiTheme="minorHAnsi" w:cstheme="minorHAnsi"/>
            <w:color w:val="auto"/>
            <w:sz w:val="28"/>
            <w:szCs w:val="28"/>
            <w:u w:val="none"/>
          </w:rPr>
          <w:t>členských štátov</w:t>
        </w:r>
      </w:hyperlink>
      <w:r w:rsidRPr="00706B1D">
        <w:rPr>
          <w:rFonts w:asciiTheme="minorHAnsi" w:hAnsiTheme="minorHAnsi" w:cstheme="minorHAnsi"/>
          <w:sz w:val="28"/>
          <w:szCs w:val="28"/>
        </w:rPr>
        <w:t> s celkovým počtom 437 miliónov obyvateľov (približne 6 % svetovej populácie)</w:t>
      </w:r>
      <w:r>
        <w:rPr>
          <w:rFonts w:asciiTheme="minorHAnsi" w:hAnsiTheme="minorHAnsi" w:cstheme="minorHAnsi"/>
          <w:sz w:val="28"/>
          <w:szCs w:val="28"/>
        </w:rPr>
        <w:t>.</w:t>
      </w:r>
    </w:p>
    <w:p w14:paraId="75A7E245" w14:textId="256F895B" w:rsidR="00706B1D" w:rsidRPr="00706B1D" w:rsidRDefault="00706B1D" w:rsidP="00706B1D">
      <w:pPr>
        <w:pStyle w:val="NormalWeb"/>
        <w:shd w:val="clear" w:color="auto" w:fill="FFFFFF"/>
        <w:spacing w:before="0" w:beforeAutospacing="0" w:after="270" w:afterAutospacing="0"/>
        <w:rPr>
          <w:rFonts w:asciiTheme="minorHAnsi" w:hAnsiTheme="minorHAnsi" w:cstheme="minorHAnsi"/>
          <w:sz w:val="28"/>
          <w:szCs w:val="28"/>
        </w:rPr>
      </w:pPr>
      <w:r w:rsidRPr="00706B1D">
        <w:rPr>
          <w:rFonts w:asciiTheme="minorHAnsi" w:hAnsiTheme="minorHAnsi" w:cstheme="minorHAnsi"/>
          <w:sz w:val="28"/>
          <w:szCs w:val="28"/>
        </w:rPr>
        <w:t>Prvá organizácia, </w:t>
      </w:r>
      <w:hyperlink r:id="rId5" w:tooltip="Európske spoločenstvo pre uhlie a oceľ" w:history="1">
        <w:r w:rsidRPr="00706B1D">
          <w:rPr>
            <w:rStyle w:val="Hyperlink"/>
            <w:rFonts w:asciiTheme="minorHAnsi" w:eastAsiaTheme="majorEastAsia" w:hAnsiTheme="minorHAnsi" w:cstheme="minorHAnsi"/>
            <w:color w:val="auto"/>
            <w:sz w:val="28"/>
            <w:szCs w:val="28"/>
            <w:u w:val="none"/>
          </w:rPr>
          <w:t>Európske spoločenstvo pre uhlie a oceľ</w:t>
        </w:r>
      </w:hyperlink>
      <w:r w:rsidRPr="00706B1D">
        <w:rPr>
          <w:rFonts w:asciiTheme="minorHAnsi" w:hAnsiTheme="minorHAnsi" w:cstheme="minorHAnsi"/>
          <w:sz w:val="28"/>
          <w:szCs w:val="28"/>
        </w:rPr>
        <w:t>, predchodkyňa dnešnej EÚ, bola založená </w:t>
      </w:r>
      <w:hyperlink r:id="rId6" w:tooltip="Zmluva o založení Európskeho spoločenstva uhlia a ocele" w:history="1">
        <w:r w:rsidRPr="00706B1D">
          <w:rPr>
            <w:rStyle w:val="Hyperlink"/>
            <w:rFonts w:asciiTheme="minorHAnsi" w:eastAsiaTheme="majorEastAsia" w:hAnsiTheme="minorHAnsi" w:cstheme="minorHAnsi"/>
            <w:color w:val="auto"/>
            <w:sz w:val="28"/>
            <w:szCs w:val="28"/>
            <w:u w:val="none"/>
          </w:rPr>
          <w:t>Parížskou zmluvou</w:t>
        </w:r>
      </w:hyperlink>
      <w:r w:rsidRPr="00706B1D">
        <w:rPr>
          <w:rFonts w:asciiTheme="minorHAnsi" w:hAnsiTheme="minorHAnsi" w:cstheme="minorHAnsi"/>
          <w:sz w:val="28"/>
          <w:szCs w:val="28"/>
        </w:rPr>
        <w:t> z roku 1951. Samotná EÚ vznikla v roku </w:t>
      </w:r>
      <w:hyperlink r:id="rId7" w:tooltip="1993" w:history="1">
        <w:r w:rsidRPr="00706B1D">
          <w:rPr>
            <w:rStyle w:val="Hyperlink"/>
            <w:rFonts w:asciiTheme="minorHAnsi" w:eastAsiaTheme="majorEastAsia" w:hAnsiTheme="minorHAnsi" w:cstheme="minorHAnsi"/>
            <w:color w:val="auto"/>
            <w:sz w:val="28"/>
            <w:szCs w:val="28"/>
            <w:u w:val="none"/>
          </w:rPr>
          <w:t>1993</w:t>
        </w:r>
      </w:hyperlink>
      <w:r w:rsidRPr="00706B1D">
        <w:rPr>
          <w:rFonts w:asciiTheme="minorHAnsi" w:hAnsiTheme="minorHAnsi" w:cstheme="minorHAnsi"/>
          <w:sz w:val="28"/>
          <w:szCs w:val="28"/>
        </w:rPr>
        <w:t> na základe </w:t>
      </w:r>
      <w:hyperlink r:id="rId8" w:tooltip="Zmluva o Európskej únii" w:history="1">
        <w:r w:rsidRPr="00706B1D">
          <w:rPr>
            <w:rStyle w:val="Hyperlink"/>
            <w:rFonts w:asciiTheme="minorHAnsi" w:eastAsiaTheme="majorEastAsia" w:hAnsiTheme="minorHAnsi" w:cstheme="minorHAnsi"/>
            <w:color w:val="auto"/>
            <w:sz w:val="28"/>
            <w:szCs w:val="28"/>
            <w:u w:val="none"/>
          </w:rPr>
          <w:t>Zmluvy o Európskej únii</w:t>
        </w:r>
      </w:hyperlink>
      <w:r w:rsidRPr="00706B1D">
        <w:rPr>
          <w:rFonts w:asciiTheme="minorHAnsi" w:hAnsiTheme="minorHAnsi" w:cstheme="minorHAnsi"/>
          <w:sz w:val="28"/>
          <w:szCs w:val="28"/>
        </w:rPr>
        <w:t>, známej aj pod názvom </w:t>
      </w:r>
      <w:hyperlink r:id="rId9" w:tooltip="Zmluva o Európskej únii" w:history="1">
        <w:r w:rsidRPr="00706B1D">
          <w:rPr>
            <w:rStyle w:val="Hyperlink"/>
            <w:rFonts w:asciiTheme="minorHAnsi" w:eastAsiaTheme="majorEastAsia" w:hAnsiTheme="minorHAnsi" w:cstheme="minorHAnsi"/>
            <w:color w:val="auto"/>
            <w:sz w:val="28"/>
            <w:szCs w:val="28"/>
            <w:u w:val="none"/>
          </w:rPr>
          <w:t>Maastrichtská zmluva</w:t>
        </w:r>
      </w:hyperlink>
      <w:r w:rsidRPr="00706B1D">
        <w:rPr>
          <w:rFonts w:asciiTheme="minorHAnsi" w:hAnsiTheme="minorHAnsi" w:cstheme="minorHAnsi"/>
          <w:sz w:val="28"/>
          <w:szCs w:val="28"/>
        </w:rPr>
        <w:t> z roku </w:t>
      </w:r>
      <w:hyperlink r:id="rId10" w:tooltip="1992" w:history="1">
        <w:r w:rsidRPr="00706B1D">
          <w:rPr>
            <w:rStyle w:val="Hyperlink"/>
            <w:rFonts w:asciiTheme="minorHAnsi" w:eastAsiaTheme="majorEastAsia" w:hAnsiTheme="minorHAnsi" w:cstheme="minorHAnsi"/>
            <w:color w:val="auto"/>
            <w:sz w:val="28"/>
            <w:szCs w:val="28"/>
            <w:u w:val="none"/>
          </w:rPr>
          <w:t>1992</w:t>
        </w:r>
      </w:hyperlink>
      <w:r w:rsidRPr="00706B1D">
        <w:rPr>
          <w:rFonts w:asciiTheme="minorHAnsi" w:hAnsiTheme="minorHAnsi" w:cstheme="minorHAnsi"/>
          <w:sz w:val="28"/>
          <w:szCs w:val="28"/>
        </w:rPr>
        <w:t>.</w:t>
      </w:r>
    </w:p>
    <w:p w14:paraId="44A05F36" w14:textId="35FFC977" w:rsidR="00706B1D" w:rsidRPr="00706B1D" w:rsidRDefault="00706B1D" w:rsidP="00706B1D">
      <w:pPr>
        <w:pStyle w:val="NormalWeb"/>
        <w:shd w:val="clear" w:color="auto" w:fill="FFFFFF"/>
        <w:spacing w:before="120" w:beforeAutospacing="0" w:after="120" w:afterAutospacing="0"/>
        <w:rPr>
          <w:rFonts w:asciiTheme="minorHAnsi" w:hAnsiTheme="minorHAnsi" w:cstheme="minorHAnsi"/>
          <w:sz w:val="28"/>
          <w:szCs w:val="28"/>
        </w:rPr>
      </w:pPr>
      <w:r w:rsidRPr="00706B1D">
        <w:rPr>
          <w:rFonts w:asciiTheme="minorHAnsi" w:hAnsiTheme="minorHAnsi" w:cstheme="minorHAnsi"/>
          <w:sz w:val="28"/>
          <w:szCs w:val="28"/>
        </w:rPr>
        <w:t>Medzi základné princípy Európskej únie patrí prenášanie právomocí národných štátov na nadnárodné európske </w:t>
      </w:r>
      <w:hyperlink r:id="rId11" w:tooltip="Zoznam inštitúcií a orgánov Európskej únie" w:history="1">
        <w:r w:rsidRPr="00706B1D">
          <w:rPr>
            <w:rStyle w:val="Hyperlink"/>
            <w:rFonts w:asciiTheme="minorHAnsi" w:eastAsiaTheme="majorEastAsia" w:hAnsiTheme="minorHAnsi" w:cstheme="minorHAnsi"/>
            <w:color w:val="auto"/>
            <w:sz w:val="28"/>
            <w:szCs w:val="28"/>
            <w:u w:val="none"/>
          </w:rPr>
          <w:t>inštitúcie</w:t>
        </w:r>
      </w:hyperlink>
      <w:r w:rsidRPr="00706B1D">
        <w:rPr>
          <w:rFonts w:asciiTheme="minorHAnsi" w:hAnsiTheme="minorHAnsi" w:cstheme="minorHAnsi"/>
          <w:sz w:val="28"/>
          <w:szCs w:val="28"/>
        </w:rPr>
        <w:t>.</w:t>
      </w:r>
      <w:r w:rsidRPr="00706B1D">
        <w:rPr>
          <w:rFonts w:asciiTheme="minorHAnsi" w:hAnsiTheme="minorHAnsi" w:cstheme="minorHAnsi"/>
          <w:sz w:val="28"/>
          <w:szCs w:val="28"/>
        </w:rPr>
        <w:t xml:space="preserve"> </w:t>
      </w:r>
    </w:p>
    <w:p w14:paraId="5771750E" w14:textId="77777777" w:rsidR="00706B1D" w:rsidRPr="00706B1D" w:rsidRDefault="00706B1D" w:rsidP="00706B1D">
      <w:pPr>
        <w:pStyle w:val="NormalWeb"/>
        <w:shd w:val="clear" w:color="auto" w:fill="FFFFFF"/>
        <w:spacing w:before="120" w:beforeAutospacing="0" w:after="120" w:afterAutospacing="0"/>
        <w:rPr>
          <w:rFonts w:asciiTheme="minorHAnsi" w:hAnsiTheme="minorHAnsi" w:cstheme="minorHAnsi"/>
          <w:sz w:val="28"/>
          <w:szCs w:val="28"/>
        </w:rPr>
      </w:pPr>
      <w:r w:rsidRPr="00706B1D">
        <w:rPr>
          <w:rFonts w:asciiTheme="minorHAnsi" w:hAnsiTheme="minorHAnsi" w:cstheme="minorHAnsi"/>
          <w:sz w:val="28"/>
          <w:szCs w:val="28"/>
        </w:rPr>
        <w:t>Hlavným cieľom Európskej únie je Európa s výrazným hospodárskym rastom, konkurencieschopnou ekonomikou a zlepšujúcou sa kvalitou </w:t>
      </w:r>
      <w:hyperlink r:id="rId12" w:tooltip="Životné prostredie" w:history="1">
        <w:r w:rsidRPr="00706B1D">
          <w:rPr>
            <w:rStyle w:val="Hyperlink"/>
            <w:rFonts w:asciiTheme="minorHAnsi" w:eastAsiaTheme="majorEastAsia" w:hAnsiTheme="minorHAnsi" w:cstheme="minorHAnsi"/>
            <w:color w:val="auto"/>
            <w:sz w:val="28"/>
            <w:szCs w:val="28"/>
            <w:u w:val="none"/>
          </w:rPr>
          <w:t>životného prostredia</w:t>
        </w:r>
      </w:hyperlink>
      <w:r w:rsidRPr="00706B1D">
        <w:rPr>
          <w:rFonts w:asciiTheme="minorHAnsi" w:hAnsiTheme="minorHAnsi" w:cstheme="minorHAnsi"/>
          <w:sz w:val="28"/>
          <w:szCs w:val="28"/>
        </w:rPr>
        <w:t>. A predovšetkým nové ciele - spoločná zahraničná a bezpečnostná politika a spolupráca v oblasti justície a vnútra. Mnohé jej ciele už boli zrealizované – menová únia a zavedenie občianstva únie.</w:t>
      </w:r>
    </w:p>
    <w:p w14:paraId="5C4648D5" w14:textId="73C1EB6E" w:rsidR="005B550D" w:rsidRPr="005B550D" w:rsidRDefault="00706B1D" w:rsidP="005B550D">
      <w:pPr>
        <w:pStyle w:val="Heading2"/>
        <w:pBdr>
          <w:bottom w:val="single" w:sz="6" w:space="0" w:color="A2A9B1"/>
        </w:pBdr>
        <w:shd w:val="clear" w:color="auto" w:fill="FFFFFF"/>
        <w:spacing w:before="240" w:after="60"/>
        <w:rPr>
          <w:rFonts w:asciiTheme="minorHAnsi" w:eastAsia="Times New Roman" w:hAnsiTheme="minorHAnsi" w:cstheme="minorHAnsi"/>
          <w:color w:val="auto"/>
          <w:sz w:val="28"/>
          <w:szCs w:val="28"/>
          <w:lang w:eastAsia="sk-SK"/>
        </w:rPr>
      </w:pPr>
      <w:r w:rsidRPr="005B550D">
        <w:rPr>
          <w:rFonts w:asciiTheme="minorHAnsi" w:hAnsiTheme="minorHAnsi" w:cstheme="minorHAnsi"/>
          <w:color w:val="auto"/>
          <w:sz w:val="28"/>
          <w:szCs w:val="28"/>
        </w:rPr>
        <w:t xml:space="preserve"> </w:t>
      </w:r>
      <w:r w:rsidR="005B550D" w:rsidRPr="005B550D">
        <w:rPr>
          <w:rFonts w:asciiTheme="minorHAnsi" w:eastAsia="Times New Roman" w:hAnsiTheme="minorHAnsi" w:cstheme="minorHAnsi"/>
          <w:color w:val="auto"/>
          <w:sz w:val="28"/>
          <w:szCs w:val="28"/>
          <w:lang w:eastAsia="sk-SK"/>
        </w:rPr>
        <w:t>Európske inštitúcie</w:t>
      </w:r>
      <w:r w:rsidR="005B550D" w:rsidRPr="005B550D">
        <w:rPr>
          <w:rFonts w:asciiTheme="minorHAnsi" w:eastAsia="Times New Roman" w:hAnsiTheme="minorHAnsi" w:cstheme="minorHAnsi"/>
          <w:color w:val="auto"/>
          <w:sz w:val="28"/>
          <w:szCs w:val="28"/>
          <w:lang w:eastAsia="sk-SK"/>
        </w:rPr>
        <w:t xml:space="preserve"> </w:t>
      </w:r>
    </w:p>
    <w:p w14:paraId="2F96BBE0" w14:textId="6D4CAAE9" w:rsidR="005B550D" w:rsidRPr="005B550D" w:rsidRDefault="005B550D" w:rsidP="005B550D">
      <w:pPr>
        <w:shd w:val="clear" w:color="auto" w:fill="FFFFFF"/>
        <w:spacing w:before="120" w:after="120" w:line="240" w:lineRule="auto"/>
        <w:ind w:left="384"/>
        <w:rPr>
          <w:rFonts w:eastAsia="Times New Roman" w:cstheme="minorHAnsi"/>
          <w:sz w:val="28"/>
          <w:szCs w:val="28"/>
          <w:lang w:eastAsia="sk-SK"/>
        </w:rPr>
      </w:pPr>
    </w:p>
    <w:p w14:paraId="44B25DA9" w14:textId="59CF0D19" w:rsidR="005B550D" w:rsidRPr="005B550D" w:rsidRDefault="005B550D" w:rsidP="005B550D">
      <w:pPr>
        <w:shd w:val="clear" w:color="auto" w:fill="FFFFFF"/>
        <w:spacing w:before="72" w:after="0" w:line="240" w:lineRule="auto"/>
        <w:ind w:left="384"/>
        <w:outlineLvl w:val="2"/>
        <w:rPr>
          <w:rFonts w:eastAsia="Times New Roman" w:cstheme="minorHAnsi"/>
          <w:b/>
          <w:bCs/>
          <w:sz w:val="28"/>
          <w:szCs w:val="28"/>
          <w:lang w:eastAsia="sk-SK"/>
        </w:rPr>
      </w:pPr>
      <w:r w:rsidRPr="005B550D">
        <w:rPr>
          <w:rFonts w:eastAsia="Times New Roman" w:cstheme="minorHAnsi"/>
          <w:b/>
          <w:bCs/>
          <w:sz w:val="28"/>
          <w:szCs w:val="28"/>
          <w:lang w:eastAsia="sk-SK"/>
        </w:rPr>
        <w:t>Rada Európskej úni</w:t>
      </w:r>
      <w:r>
        <w:rPr>
          <w:rFonts w:eastAsia="Times New Roman" w:cstheme="minorHAnsi"/>
          <w:b/>
          <w:bCs/>
          <w:sz w:val="28"/>
          <w:szCs w:val="28"/>
          <w:lang w:eastAsia="sk-SK"/>
        </w:rPr>
        <w:t>e</w:t>
      </w:r>
      <w:r w:rsidRPr="005B550D">
        <w:rPr>
          <w:rFonts w:eastAsia="Times New Roman" w:cstheme="minorHAnsi"/>
          <w:b/>
          <w:bCs/>
          <w:sz w:val="28"/>
          <w:szCs w:val="28"/>
          <w:lang w:eastAsia="sk-SK"/>
        </w:rPr>
        <w:t xml:space="preserve"> </w:t>
      </w:r>
    </w:p>
    <w:p w14:paraId="09BFFBB5" w14:textId="75238E56" w:rsidR="005B550D" w:rsidRPr="005B550D" w:rsidRDefault="005B550D" w:rsidP="005B550D">
      <w:pPr>
        <w:shd w:val="clear" w:color="auto" w:fill="FFFFFF"/>
        <w:spacing w:before="120" w:after="120" w:line="240" w:lineRule="auto"/>
        <w:ind w:left="384"/>
        <w:rPr>
          <w:rFonts w:eastAsia="Times New Roman" w:cstheme="minorHAnsi"/>
          <w:sz w:val="28"/>
          <w:szCs w:val="28"/>
          <w:lang w:eastAsia="sk-SK"/>
        </w:rPr>
      </w:pPr>
      <w:hyperlink r:id="rId13" w:tooltip="Rada Európskej únie" w:history="1">
        <w:r w:rsidRPr="005B550D">
          <w:rPr>
            <w:rFonts w:eastAsia="Times New Roman" w:cstheme="minorHAnsi"/>
            <w:b/>
            <w:bCs/>
            <w:sz w:val="28"/>
            <w:szCs w:val="28"/>
            <w:lang w:eastAsia="sk-SK"/>
          </w:rPr>
          <w:t>Rada Európskej únie</w:t>
        </w:r>
      </w:hyperlink>
      <w:r>
        <w:rPr>
          <w:rFonts w:eastAsia="Times New Roman" w:cstheme="minorHAnsi"/>
          <w:b/>
          <w:bCs/>
          <w:sz w:val="28"/>
          <w:szCs w:val="28"/>
          <w:lang w:eastAsia="sk-SK"/>
        </w:rPr>
        <w:t xml:space="preserve"> </w:t>
      </w:r>
      <w:r w:rsidRPr="005B550D">
        <w:rPr>
          <w:rFonts w:eastAsia="Times New Roman" w:cstheme="minorHAnsi"/>
          <w:sz w:val="28"/>
          <w:szCs w:val="28"/>
          <w:lang w:eastAsia="sk-SK"/>
        </w:rPr>
        <w:t xml:space="preserve"> je rozhodujúcou inštitúciou EÚ a zastupuje záujmy členských štátov na európskej úrovni. Napriek tomu, že mnohé právomoci v minulosti delegovala na </w:t>
      </w:r>
      <w:hyperlink r:id="rId14" w:tooltip="Európska komisia" w:history="1">
        <w:r w:rsidRPr="005B550D">
          <w:rPr>
            <w:rFonts w:eastAsia="Times New Roman" w:cstheme="minorHAnsi"/>
            <w:sz w:val="28"/>
            <w:szCs w:val="28"/>
            <w:lang w:eastAsia="sk-SK"/>
          </w:rPr>
          <w:t>Európsku komisiu</w:t>
        </w:r>
      </w:hyperlink>
      <w:r w:rsidRPr="005B550D">
        <w:rPr>
          <w:rFonts w:eastAsia="Times New Roman" w:cstheme="minorHAnsi"/>
          <w:sz w:val="28"/>
          <w:szCs w:val="28"/>
          <w:lang w:eastAsia="sk-SK"/>
        </w:rPr>
        <w:t>, stále zostáva najvplyvnejším orgánom EÚ. Významné právomoci má v oblastiach 2. a 3. piliera (napr. spoločná zahraničná politika, alebo policajná spolupráca), v oblasti 1. piliera môže rozhodovať len na základe návrhu Komisie.</w:t>
      </w:r>
    </w:p>
    <w:p w14:paraId="25280408" w14:textId="77777777" w:rsidR="005B550D" w:rsidRPr="005B550D" w:rsidRDefault="005B550D" w:rsidP="005B550D">
      <w:pPr>
        <w:shd w:val="clear" w:color="auto" w:fill="FFFFFF"/>
        <w:spacing w:before="120" w:after="120" w:line="240" w:lineRule="auto"/>
        <w:ind w:left="384"/>
        <w:rPr>
          <w:rFonts w:eastAsia="Times New Roman" w:cstheme="minorHAnsi"/>
          <w:sz w:val="28"/>
          <w:szCs w:val="28"/>
          <w:lang w:eastAsia="sk-SK"/>
        </w:rPr>
      </w:pPr>
      <w:r w:rsidRPr="005B550D">
        <w:rPr>
          <w:rFonts w:eastAsia="Times New Roman" w:cstheme="minorHAnsi"/>
          <w:sz w:val="28"/>
          <w:szCs w:val="28"/>
          <w:lang w:eastAsia="sk-SK"/>
        </w:rPr>
        <w:t>Rada sa skladá z ministrov vlád jednotlivých štátov, ktorí sa schádzajú podľa potreby. Najčastejšie zasadania majú ministri poľnohospodárstva (asi štrnásťkrát do roka), ministri financií (oficiálny názov </w:t>
      </w:r>
      <w:r w:rsidRPr="005B550D">
        <w:rPr>
          <w:rFonts w:eastAsia="Times New Roman" w:cstheme="minorHAnsi"/>
          <w:i/>
          <w:iCs/>
          <w:sz w:val="28"/>
          <w:szCs w:val="28"/>
          <w:lang w:eastAsia="sk-SK"/>
        </w:rPr>
        <w:t>Ecofin</w:t>
      </w:r>
      <w:r w:rsidRPr="005B550D">
        <w:rPr>
          <w:rFonts w:eastAsia="Times New Roman" w:cstheme="minorHAnsi"/>
          <w:sz w:val="28"/>
          <w:szCs w:val="28"/>
          <w:lang w:eastAsia="sk-SK"/>
        </w:rPr>
        <w:t>) a ministri zahraničných vecí (</w:t>
      </w:r>
      <w:r w:rsidRPr="005B550D">
        <w:rPr>
          <w:rFonts w:eastAsia="Times New Roman" w:cstheme="minorHAnsi"/>
          <w:i/>
          <w:iCs/>
          <w:sz w:val="28"/>
          <w:szCs w:val="28"/>
          <w:lang w:eastAsia="sk-SK"/>
        </w:rPr>
        <w:t>Všeobecná rada</w:t>
      </w:r>
      <w:r w:rsidRPr="005B550D">
        <w:rPr>
          <w:rFonts w:eastAsia="Times New Roman" w:cstheme="minorHAnsi"/>
          <w:sz w:val="28"/>
          <w:szCs w:val="28"/>
          <w:lang w:eastAsia="sk-SK"/>
        </w:rPr>
        <w:t>), ktorí sa schádzajú približne raz za mesiac. Rokovania prebiehajú v </w:t>
      </w:r>
      <w:hyperlink r:id="rId15" w:tooltip="Brusel" w:history="1">
        <w:r w:rsidRPr="005B550D">
          <w:rPr>
            <w:rFonts w:eastAsia="Times New Roman" w:cstheme="minorHAnsi"/>
            <w:sz w:val="28"/>
            <w:szCs w:val="28"/>
            <w:lang w:eastAsia="sk-SK"/>
          </w:rPr>
          <w:t>Bruseli</w:t>
        </w:r>
      </w:hyperlink>
      <w:r w:rsidRPr="005B550D">
        <w:rPr>
          <w:rFonts w:eastAsia="Times New Roman" w:cstheme="minorHAnsi"/>
          <w:sz w:val="28"/>
          <w:szCs w:val="28"/>
          <w:lang w:eastAsia="sk-SK"/>
        </w:rPr>
        <w:t> a </w:t>
      </w:r>
      <w:hyperlink r:id="rId16" w:tooltip="Luxemburg" w:history="1">
        <w:r w:rsidRPr="005B550D">
          <w:rPr>
            <w:rFonts w:eastAsia="Times New Roman" w:cstheme="minorHAnsi"/>
            <w:sz w:val="28"/>
            <w:szCs w:val="28"/>
            <w:lang w:eastAsia="sk-SK"/>
          </w:rPr>
          <w:t>Luxemburgu</w:t>
        </w:r>
      </w:hyperlink>
      <w:r w:rsidRPr="005B550D">
        <w:rPr>
          <w:rFonts w:eastAsia="Times New Roman" w:cstheme="minorHAnsi"/>
          <w:sz w:val="28"/>
          <w:szCs w:val="28"/>
          <w:lang w:eastAsia="sk-SK"/>
        </w:rPr>
        <w:t>.</w:t>
      </w:r>
    </w:p>
    <w:p w14:paraId="3B7BE39F" w14:textId="56988AE1" w:rsidR="005B550D" w:rsidRPr="005B550D" w:rsidRDefault="005B550D" w:rsidP="005B550D">
      <w:pPr>
        <w:shd w:val="clear" w:color="auto" w:fill="FFFFFF"/>
        <w:spacing w:before="120" w:after="120" w:line="240" w:lineRule="auto"/>
        <w:ind w:left="384"/>
        <w:rPr>
          <w:rFonts w:eastAsia="Times New Roman" w:cstheme="minorHAnsi"/>
          <w:sz w:val="28"/>
          <w:szCs w:val="28"/>
          <w:lang w:eastAsia="sk-SK"/>
        </w:rPr>
      </w:pPr>
      <w:r w:rsidRPr="005B550D">
        <w:rPr>
          <w:rFonts w:eastAsia="Times New Roman" w:cstheme="minorHAnsi"/>
          <w:sz w:val="28"/>
          <w:szCs w:val="28"/>
          <w:lang w:eastAsia="sk-SK"/>
        </w:rPr>
        <w:t xml:space="preserve"> </w:t>
      </w:r>
      <w:hyperlink r:id="rId17" w:tooltip="Predsedníctvo Rady EÚ" w:history="1">
        <w:r w:rsidRPr="005B550D">
          <w:rPr>
            <w:rFonts w:eastAsia="Times New Roman" w:cstheme="minorHAnsi"/>
            <w:sz w:val="28"/>
            <w:szCs w:val="28"/>
            <w:lang w:eastAsia="sk-SK"/>
          </w:rPr>
          <w:t>Predsedníctvo</w:t>
        </w:r>
      </w:hyperlink>
      <w:r w:rsidRPr="005B550D">
        <w:rPr>
          <w:rFonts w:eastAsia="Times New Roman" w:cstheme="minorHAnsi"/>
          <w:sz w:val="28"/>
          <w:szCs w:val="28"/>
          <w:lang w:eastAsia="sk-SK"/>
        </w:rPr>
        <w:t> v Rade je rotujúce. Rade predsedá postupne každý členský štát, o poradí predsedníckych štátov rozhoduje Rada jednomyseľne</w:t>
      </w:r>
      <w:r>
        <w:rPr>
          <w:rFonts w:eastAsia="Times New Roman" w:cstheme="minorHAnsi"/>
          <w:sz w:val="28"/>
          <w:szCs w:val="28"/>
          <w:lang w:eastAsia="sk-SK"/>
        </w:rPr>
        <w:t>.</w:t>
      </w:r>
      <w:r w:rsidRPr="005B550D">
        <w:rPr>
          <w:rFonts w:eastAsia="Times New Roman" w:cstheme="minorHAnsi"/>
          <w:b/>
          <w:bCs/>
          <w:sz w:val="28"/>
          <w:szCs w:val="28"/>
          <w:lang w:eastAsia="sk-SK"/>
        </w:rPr>
        <w:t xml:space="preserve"> </w:t>
      </w:r>
    </w:p>
    <w:p w14:paraId="052433B8" w14:textId="1D6F96AC" w:rsidR="005B550D" w:rsidRPr="005B550D" w:rsidRDefault="005B550D" w:rsidP="005B550D">
      <w:pPr>
        <w:shd w:val="clear" w:color="auto" w:fill="FFFFFF"/>
        <w:spacing w:before="120" w:after="120" w:line="240" w:lineRule="auto"/>
        <w:ind w:left="384"/>
        <w:rPr>
          <w:rFonts w:eastAsia="Times New Roman" w:cstheme="minorHAnsi"/>
          <w:sz w:val="28"/>
          <w:szCs w:val="28"/>
          <w:lang w:eastAsia="sk-SK"/>
        </w:rPr>
      </w:pPr>
      <w:hyperlink r:id="rId18" w:tooltip="Európska komisia" w:history="1">
        <w:r w:rsidRPr="005B550D">
          <w:rPr>
            <w:rFonts w:eastAsia="Times New Roman" w:cstheme="minorHAnsi"/>
            <w:b/>
            <w:bCs/>
            <w:sz w:val="28"/>
            <w:szCs w:val="28"/>
            <w:lang w:eastAsia="sk-SK"/>
          </w:rPr>
          <w:t>Európska komisia</w:t>
        </w:r>
      </w:hyperlink>
      <w:r w:rsidRPr="005B550D">
        <w:rPr>
          <w:rFonts w:eastAsia="Times New Roman" w:cstheme="minorHAnsi"/>
          <w:sz w:val="28"/>
          <w:szCs w:val="28"/>
          <w:lang w:eastAsia="sk-SK"/>
        </w:rPr>
        <w:t> sleduje záujmy Európskej únie ako celku, komisári teda nemajú prihliadať k záujmom jednotlivých krajín. Najväčšiu právomoc má v 1. pilieri, má právo iniciovať návrhy zákonov a dohliada na dodržiavanie prijatých zmlúv. Vypracúva taktiež návrh rozpočtu EÚ a kontroluje jeho plnenie. Ďalej komisia zastupuje EÚ pri medzinárodných rokovaniach a má právo, v súlade s mandátom schváleným Radou Európskej únie, vyjednávať s tretími štátmi dohody. Má významné právomoci pri prijímaní nových členov do Únie a zaisťuje kontakty s nečlenskými štátmi EÚ. Sídlo má v </w:t>
      </w:r>
      <w:hyperlink r:id="rId19" w:tooltip="Brusel" w:history="1">
        <w:r w:rsidRPr="005B550D">
          <w:rPr>
            <w:rFonts w:eastAsia="Times New Roman" w:cstheme="minorHAnsi"/>
            <w:sz w:val="28"/>
            <w:szCs w:val="28"/>
            <w:lang w:eastAsia="sk-SK"/>
          </w:rPr>
          <w:t>Bruseli</w:t>
        </w:r>
      </w:hyperlink>
      <w:r w:rsidRPr="005B550D">
        <w:rPr>
          <w:rFonts w:eastAsia="Times New Roman" w:cstheme="minorHAnsi"/>
          <w:sz w:val="28"/>
          <w:szCs w:val="28"/>
          <w:lang w:eastAsia="sk-SK"/>
        </w:rPr>
        <w:t>.</w:t>
      </w:r>
      <w:r w:rsidRPr="005B550D">
        <w:rPr>
          <w:rFonts w:eastAsia="Times New Roman" w:cstheme="minorHAnsi"/>
          <w:b/>
          <w:bCs/>
          <w:sz w:val="28"/>
          <w:szCs w:val="28"/>
          <w:lang w:eastAsia="sk-SK"/>
        </w:rPr>
        <w:t xml:space="preserve"> </w:t>
      </w:r>
    </w:p>
    <w:p w14:paraId="58E0C779" w14:textId="77777777" w:rsidR="005B550D" w:rsidRPr="005B550D" w:rsidRDefault="005B550D" w:rsidP="005B550D">
      <w:pPr>
        <w:shd w:val="clear" w:color="auto" w:fill="FFFFFF"/>
        <w:spacing w:before="120" w:after="120" w:line="240" w:lineRule="auto"/>
        <w:ind w:left="384"/>
        <w:rPr>
          <w:rFonts w:eastAsia="Times New Roman" w:cstheme="minorHAnsi"/>
          <w:sz w:val="28"/>
          <w:szCs w:val="28"/>
          <w:lang w:eastAsia="sk-SK"/>
        </w:rPr>
      </w:pPr>
      <w:hyperlink r:id="rId20" w:tooltip="Európsky parlament" w:history="1">
        <w:r w:rsidRPr="005B550D">
          <w:rPr>
            <w:rFonts w:eastAsia="Times New Roman" w:cstheme="minorHAnsi"/>
            <w:b/>
            <w:bCs/>
            <w:sz w:val="28"/>
            <w:szCs w:val="28"/>
            <w:lang w:eastAsia="sk-SK"/>
          </w:rPr>
          <w:t>Európsky parlament</w:t>
        </w:r>
      </w:hyperlink>
      <w:r w:rsidRPr="005B550D">
        <w:rPr>
          <w:rFonts w:eastAsia="Times New Roman" w:cstheme="minorHAnsi"/>
          <w:sz w:val="28"/>
          <w:szCs w:val="28"/>
          <w:lang w:eastAsia="sk-SK"/>
        </w:rPr>
        <w:t> funguje ako kontrolný a poradný orgán Európskej únie. Schvaľuje zloženie </w:t>
      </w:r>
      <w:hyperlink r:id="rId21" w:tooltip="Európska komisia" w:history="1">
        <w:r w:rsidRPr="005B550D">
          <w:rPr>
            <w:rFonts w:eastAsia="Times New Roman" w:cstheme="minorHAnsi"/>
            <w:sz w:val="28"/>
            <w:szCs w:val="28"/>
            <w:lang w:eastAsia="sk-SK"/>
          </w:rPr>
          <w:t>Európskej komisie</w:t>
        </w:r>
      </w:hyperlink>
      <w:r w:rsidRPr="005B550D">
        <w:rPr>
          <w:rFonts w:eastAsia="Times New Roman" w:cstheme="minorHAnsi"/>
          <w:sz w:val="28"/>
          <w:szCs w:val="28"/>
          <w:lang w:eastAsia="sk-SK"/>
        </w:rPr>
        <w:t> a má právo kontrolovať jej činnosť, podieľa sa na tvorbe zákonov, vyslovuje súhlas s medzinárodnými zmluvami a prijímaním nových členských štátov. Má taktiež značné právomoci v oblasti spoločného rozpočtu EÚ.</w:t>
      </w:r>
    </w:p>
    <w:p w14:paraId="46A508C9" w14:textId="621C671A" w:rsidR="005B550D" w:rsidRPr="005B550D" w:rsidRDefault="005B550D" w:rsidP="005B550D">
      <w:pPr>
        <w:shd w:val="clear" w:color="auto" w:fill="FFFFFF"/>
        <w:spacing w:before="120" w:after="120" w:line="240" w:lineRule="auto"/>
        <w:ind w:left="384"/>
        <w:rPr>
          <w:rFonts w:eastAsia="Times New Roman" w:cstheme="minorHAnsi"/>
          <w:sz w:val="28"/>
          <w:szCs w:val="28"/>
          <w:lang w:eastAsia="sk-SK"/>
        </w:rPr>
      </w:pPr>
      <w:r w:rsidRPr="005B550D">
        <w:rPr>
          <w:rFonts w:eastAsia="Times New Roman" w:cstheme="minorHAnsi"/>
          <w:sz w:val="28"/>
          <w:szCs w:val="28"/>
          <w:lang w:eastAsia="sk-SK"/>
        </w:rPr>
        <w:t>Európsky parlament má 751 </w:t>
      </w:r>
      <w:hyperlink r:id="rId22" w:tooltip="Poslanec Európskeho parlamentu" w:history="1">
        <w:r w:rsidRPr="005B550D">
          <w:rPr>
            <w:rFonts w:eastAsia="Times New Roman" w:cstheme="minorHAnsi"/>
            <w:sz w:val="28"/>
            <w:szCs w:val="28"/>
            <w:lang w:eastAsia="sk-SK"/>
          </w:rPr>
          <w:t>poslancov</w:t>
        </w:r>
      </w:hyperlink>
      <w:r w:rsidRPr="005B550D">
        <w:rPr>
          <w:rFonts w:eastAsia="Times New Roman" w:cstheme="minorHAnsi"/>
          <w:sz w:val="28"/>
          <w:szCs w:val="28"/>
          <w:lang w:eastAsia="sk-SK"/>
        </w:rPr>
        <w:t> vrátane predsedu, ktorí sú od roku 1979 volení obyvateľmi EÚ na obdobie päť rokov. Poslanci majú teda možnosť združovať sa do poslaneckých klubov na základe politickej príslušnosti, nie sú preto rozsadení podľa národností. Sídlom EP je </w:t>
      </w:r>
      <w:hyperlink r:id="rId23" w:tooltip="Štrasburg" w:history="1">
        <w:r w:rsidRPr="005B550D">
          <w:rPr>
            <w:rFonts w:eastAsia="Times New Roman" w:cstheme="minorHAnsi"/>
            <w:sz w:val="28"/>
            <w:szCs w:val="28"/>
            <w:lang w:eastAsia="sk-SK"/>
          </w:rPr>
          <w:t>Štrasburg</w:t>
        </w:r>
      </w:hyperlink>
      <w:r w:rsidRPr="005B550D">
        <w:rPr>
          <w:rFonts w:eastAsia="Times New Roman" w:cstheme="minorHAnsi"/>
          <w:sz w:val="28"/>
          <w:szCs w:val="28"/>
          <w:lang w:eastAsia="sk-SK"/>
        </w:rPr>
        <w:t>, ale parlament pracuje taktiež v </w:t>
      </w:r>
      <w:hyperlink r:id="rId24" w:tooltip="Brusel" w:history="1">
        <w:r w:rsidRPr="005B550D">
          <w:rPr>
            <w:rFonts w:eastAsia="Times New Roman" w:cstheme="minorHAnsi"/>
            <w:sz w:val="28"/>
            <w:szCs w:val="28"/>
            <w:lang w:eastAsia="sk-SK"/>
          </w:rPr>
          <w:t>Bruseli</w:t>
        </w:r>
      </w:hyperlink>
      <w:r w:rsidRPr="005B550D">
        <w:rPr>
          <w:rFonts w:eastAsia="Times New Roman" w:cstheme="minorHAnsi"/>
          <w:sz w:val="28"/>
          <w:szCs w:val="28"/>
          <w:lang w:eastAsia="sk-SK"/>
        </w:rPr>
        <w:t> a </w:t>
      </w:r>
      <w:hyperlink r:id="rId25" w:tooltip="Luxemburg" w:history="1">
        <w:r w:rsidRPr="005B550D">
          <w:rPr>
            <w:rFonts w:eastAsia="Times New Roman" w:cstheme="minorHAnsi"/>
            <w:sz w:val="28"/>
            <w:szCs w:val="28"/>
            <w:lang w:eastAsia="sk-SK"/>
          </w:rPr>
          <w:t>Luxemburgu</w:t>
        </w:r>
      </w:hyperlink>
      <w:r w:rsidRPr="005B550D">
        <w:rPr>
          <w:rFonts w:eastAsia="Times New Roman" w:cstheme="minorHAnsi"/>
          <w:sz w:val="28"/>
          <w:szCs w:val="28"/>
          <w:lang w:eastAsia="sk-SK"/>
        </w:rPr>
        <w:t>. Európsky parlament sa uznáša prostou väčšinou. Je jedinou nadnárodnou inštitúciou, ktorej poslanci sú volení v demokratických, priamych a všeobecných voľbách v jednotlivých členských štátoch EÚ.</w:t>
      </w:r>
    </w:p>
    <w:p w14:paraId="444EDE63" w14:textId="19B11DF3" w:rsidR="005B550D" w:rsidRDefault="005B550D" w:rsidP="005B550D">
      <w:pPr>
        <w:shd w:val="clear" w:color="auto" w:fill="FFFFFF"/>
        <w:spacing w:before="120" w:after="120" w:line="240" w:lineRule="auto"/>
        <w:ind w:left="384"/>
        <w:rPr>
          <w:rFonts w:eastAsia="Times New Roman" w:cstheme="minorHAnsi"/>
          <w:sz w:val="28"/>
          <w:szCs w:val="28"/>
          <w:lang w:eastAsia="sk-SK"/>
        </w:rPr>
      </w:pPr>
      <w:hyperlink r:id="rId26" w:tooltip="Európska rada" w:history="1">
        <w:r w:rsidRPr="005B550D">
          <w:rPr>
            <w:rFonts w:eastAsia="Times New Roman" w:cstheme="minorHAnsi"/>
            <w:b/>
            <w:bCs/>
            <w:sz w:val="28"/>
            <w:szCs w:val="28"/>
            <w:lang w:eastAsia="sk-SK"/>
          </w:rPr>
          <w:t>Európska rada</w:t>
        </w:r>
      </w:hyperlink>
      <w:r w:rsidRPr="005B550D">
        <w:rPr>
          <w:rFonts w:eastAsia="Times New Roman" w:cstheme="minorHAnsi"/>
          <w:sz w:val="28"/>
          <w:szCs w:val="28"/>
          <w:lang w:eastAsia="sk-SK"/>
        </w:rPr>
        <w:t> (pozor na zámenu s </w:t>
      </w:r>
      <w:hyperlink r:id="rId27" w:tooltip="Rada Európskej únie" w:history="1">
        <w:r w:rsidRPr="005B550D">
          <w:rPr>
            <w:rFonts w:eastAsia="Times New Roman" w:cstheme="minorHAnsi"/>
            <w:sz w:val="28"/>
            <w:szCs w:val="28"/>
            <w:lang w:eastAsia="sk-SK"/>
          </w:rPr>
          <w:t>Radou Európskej únie</w:t>
        </w:r>
      </w:hyperlink>
      <w:r w:rsidRPr="005B550D">
        <w:rPr>
          <w:rFonts w:eastAsia="Times New Roman" w:cstheme="minorHAnsi"/>
          <w:sz w:val="28"/>
          <w:szCs w:val="28"/>
          <w:lang w:eastAsia="sk-SK"/>
        </w:rPr>
        <w:t>, alebo </w:t>
      </w:r>
      <w:hyperlink r:id="rId28" w:tooltip="Rada Európy" w:history="1">
        <w:r w:rsidRPr="005B550D">
          <w:rPr>
            <w:rFonts w:eastAsia="Times New Roman" w:cstheme="minorHAnsi"/>
            <w:sz w:val="28"/>
            <w:szCs w:val="28"/>
            <w:lang w:eastAsia="sk-SK"/>
          </w:rPr>
          <w:t>Radou Európy</w:t>
        </w:r>
      </w:hyperlink>
      <w:r w:rsidRPr="005B550D">
        <w:rPr>
          <w:rFonts w:eastAsia="Times New Roman" w:cstheme="minorHAnsi"/>
          <w:sz w:val="28"/>
          <w:szCs w:val="28"/>
          <w:lang w:eastAsia="sk-SK"/>
        </w:rPr>
        <w:t>) je najvyšší politický orgán EÚ a zasadá dva razy do roka. Skladá sa z hláv štátov a predsedov vlád členských štátov EÚ, svojho predsedu a predsedu </w:t>
      </w:r>
      <w:hyperlink r:id="rId29" w:tooltip="Európska komisia" w:history="1">
        <w:r w:rsidRPr="005B550D">
          <w:rPr>
            <w:rFonts w:eastAsia="Times New Roman" w:cstheme="minorHAnsi"/>
            <w:sz w:val="28"/>
            <w:szCs w:val="28"/>
            <w:lang w:eastAsia="sk-SK"/>
          </w:rPr>
          <w:t>Európskej komisie</w:t>
        </w:r>
      </w:hyperlink>
      <w:r w:rsidRPr="005B550D">
        <w:rPr>
          <w:rFonts w:eastAsia="Times New Roman" w:cstheme="minorHAnsi"/>
          <w:sz w:val="28"/>
          <w:szCs w:val="28"/>
          <w:lang w:eastAsia="sk-SK"/>
        </w:rPr>
        <w:t>. Rozhoduje o najzávažnejších politických a ekonomických otázkach a vymedzuje smery, ktorými sa má Únia uberať.</w:t>
      </w:r>
    </w:p>
    <w:p w14:paraId="3AD6B703" w14:textId="77777777" w:rsidR="005B550D" w:rsidRPr="005B550D" w:rsidRDefault="005B550D" w:rsidP="005B550D">
      <w:pPr>
        <w:shd w:val="clear" w:color="auto" w:fill="FFFFFF"/>
        <w:spacing w:before="120" w:after="120" w:line="240" w:lineRule="auto"/>
        <w:ind w:left="384"/>
        <w:rPr>
          <w:rFonts w:eastAsia="Times New Roman" w:cstheme="minorHAnsi"/>
          <w:sz w:val="28"/>
          <w:szCs w:val="28"/>
          <w:lang w:eastAsia="sk-SK"/>
        </w:rPr>
      </w:pPr>
    </w:p>
    <w:p w14:paraId="20B64DDD" w14:textId="496A0B12" w:rsidR="005B550D" w:rsidRPr="005B550D" w:rsidRDefault="005B550D" w:rsidP="005B550D">
      <w:pPr>
        <w:shd w:val="clear" w:color="auto" w:fill="FFFFFF"/>
        <w:spacing w:before="72" w:after="0" w:line="240" w:lineRule="auto"/>
        <w:ind w:left="384"/>
        <w:outlineLvl w:val="2"/>
        <w:rPr>
          <w:rFonts w:eastAsia="Times New Roman" w:cstheme="minorHAnsi"/>
          <w:b/>
          <w:bCs/>
          <w:sz w:val="28"/>
          <w:szCs w:val="28"/>
          <w:lang w:eastAsia="sk-SK"/>
        </w:rPr>
      </w:pPr>
      <w:r w:rsidRPr="005B550D">
        <w:rPr>
          <w:rFonts w:eastAsia="Times New Roman" w:cstheme="minorHAnsi"/>
          <w:b/>
          <w:bCs/>
          <w:sz w:val="28"/>
          <w:szCs w:val="28"/>
          <w:lang w:eastAsia="sk-SK"/>
        </w:rPr>
        <w:t>Ďalšie inštitúci</w:t>
      </w:r>
      <w:r>
        <w:rPr>
          <w:rFonts w:eastAsia="Times New Roman" w:cstheme="minorHAnsi"/>
          <w:b/>
          <w:bCs/>
          <w:sz w:val="28"/>
          <w:szCs w:val="28"/>
          <w:lang w:eastAsia="sk-SK"/>
        </w:rPr>
        <w:t>e</w:t>
      </w:r>
      <w:r w:rsidRPr="005B550D">
        <w:rPr>
          <w:rFonts w:eastAsia="Times New Roman" w:cstheme="minorHAnsi"/>
          <w:b/>
          <w:bCs/>
          <w:sz w:val="28"/>
          <w:szCs w:val="28"/>
          <w:lang w:eastAsia="sk-SK"/>
        </w:rPr>
        <w:t xml:space="preserve"> </w:t>
      </w:r>
    </w:p>
    <w:p w14:paraId="6FF6A321" w14:textId="77777777" w:rsidR="005B550D" w:rsidRPr="005B550D" w:rsidRDefault="005B550D" w:rsidP="005B550D">
      <w:pPr>
        <w:shd w:val="clear" w:color="auto" w:fill="FFFFFF"/>
        <w:spacing w:before="120" w:after="120" w:line="240" w:lineRule="auto"/>
        <w:ind w:left="384"/>
        <w:rPr>
          <w:rFonts w:eastAsia="Times New Roman" w:cstheme="minorHAnsi"/>
          <w:sz w:val="28"/>
          <w:szCs w:val="28"/>
          <w:lang w:eastAsia="sk-SK"/>
        </w:rPr>
      </w:pPr>
      <w:hyperlink r:id="rId30" w:tooltip="Súdny dvor Európskych spoločenstiev" w:history="1">
        <w:r w:rsidRPr="005B550D">
          <w:rPr>
            <w:rFonts w:eastAsia="Times New Roman" w:cstheme="minorHAnsi"/>
            <w:b/>
            <w:bCs/>
            <w:sz w:val="28"/>
            <w:szCs w:val="28"/>
            <w:lang w:eastAsia="sk-SK"/>
          </w:rPr>
          <w:t>Súdny dvor</w:t>
        </w:r>
      </w:hyperlink>
      <w:r w:rsidRPr="005B550D">
        <w:rPr>
          <w:rFonts w:eastAsia="Times New Roman" w:cstheme="minorHAnsi"/>
          <w:sz w:val="28"/>
          <w:szCs w:val="28"/>
          <w:lang w:eastAsia="sk-SK"/>
        </w:rPr>
        <w:t> dbá na dodržiavanie európskeho práva a je významným kontrolným orgánom EÚ. Má sídlo v </w:t>
      </w:r>
      <w:hyperlink r:id="rId31" w:tooltip="Luxemburg" w:history="1">
        <w:r w:rsidRPr="005B550D">
          <w:rPr>
            <w:rFonts w:eastAsia="Times New Roman" w:cstheme="minorHAnsi"/>
            <w:sz w:val="28"/>
            <w:szCs w:val="28"/>
            <w:lang w:eastAsia="sk-SK"/>
          </w:rPr>
          <w:t>Luxemburgu</w:t>
        </w:r>
      </w:hyperlink>
      <w:r w:rsidRPr="005B550D">
        <w:rPr>
          <w:rFonts w:eastAsia="Times New Roman" w:cstheme="minorHAnsi"/>
          <w:sz w:val="28"/>
          <w:szCs w:val="28"/>
          <w:lang w:eastAsia="sk-SK"/>
        </w:rPr>
        <w:t>.</w:t>
      </w:r>
    </w:p>
    <w:p w14:paraId="63DD10C3" w14:textId="77777777" w:rsidR="005B550D" w:rsidRPr="005B550D" w:rsidRDefault="005B550D" w:rsidP="005B550D">
      <w:pPr>
        <w:shd w:val="clear" w:color="auto" w:fill="FFFFFF"/>
        <w:spacing w:before="120" w:after="120" w:line="240" w:lineRule="auto"/>
        <w:ind w:left="384"/>
        <w:rPr>
          <w:rFonts w:eastAsia="Times New Roman" w:cstheme="minorHAnsi"/>
          <w:sz w:val="28"/>
          <w:szCs w:val="28"/>
          <w:lang w:eastAsia="sk-SK"/>
        </w:rPr>
      </w:pPr>
      <w:hyperlink r:id="rId32" w:tooltip="Európska investičná banka" w:history="1">
        <w:r w:rsidRPr="005B550D">
          <w:rPr>
            <w:rFonts w:eastAsia="Times New Roman" w:cstheme="minorHAnsi"/>
            <w:b/>
            <w:bCs/>
            <w:sz w:val="28"/>
            <w:szCs w:val="28"/>
            <w:lang w:eastAsia="sk-SK"/>
          </w:rPr>
          <w:t>Európska investičná banka</w:t>
        </w:r>
      </w:hyperlink>
      <w:r w:rsidRPr="005B550D">
        <w:rPr>
          <w:rFonts w:eastAsia="Times New Roman" w:cstheme="minorHAnsi"/>
          <w:sz w:val="28"/>
          <w:szCs w:val="28"/>
          <w:lang w:eastAsia="sk-SK"/>
        </w:rPr>
        <w:t> poskytuje verejným i súkromným subjektom dlhodobé pôžičky na kapitálové investície. Sídlo banky je v </w:t>
      </w:r>
      <w:hyperlink r:id="rId33" w:tooltip="Luxembursko" w:history="1">
        <w:r w:rsidRPr="005B550D">
          <w:rPr>
            <w:rFonts w:eastAsia="Times New Roman" w:cstheme="minorHAnsi"/>
            <w:sz w:val="28"/>
            <w:szCs w:val="28"/>
            <w:lang w:eastAsia="sk-SK"/>
          </w:rPr>
          <w:t>Luxembursku</w:t>
        </w:r>
      </w:hyperlink>
      <w:r w:rsidRPr="005B550D">
        <w:rPr>
          <w:rFonts w:eastAsia="Times New Roman" w:cstheme="minorHAnsi"/>
          <w:sz w:val="28"/>
          <w:szCs w:val="28"/>
          <w:lang w:eastAsia="sk-SK"/>
        </w:rPr>
        <w:t>, s pobočkami v </w:t>
      </w:r>
      <w:hyperlink r:id="rId34" w:tooltip="Atény" w:history="1">
        <w:r w:rsidRPr="005B550D">
          <w:rPr>
            <w:rFonts w:eastAsia="Times New Roman" w:cstheme="minorHAnsi"/>
            <w:sz w:val="28"/>
            <w:szCs w:val="28"/>
            <w:lang w:eastAsia="sk-SK"/>
          </w:rPr>
          <w:t>Aténach</w:t>
        </w:r>
      </w:hyperlink>
      <w:r w:rsidRPr="005B550D">
        <w:rPr>
          <w:rFonts w:eastAsia="Times New Roman" w:cstheme="minorHAnsi"/>
          <w:sz w:val="28"/>
          <w:szCs w:val="28"/>
          <w:lang w:eastAsia="sk-SK"/>
        </w:rPr>
        <w:t>, </w:t>
      </w:r>
      <w:hyperlink r:id="rId35" w:tooltip="Lisabon" w:history="1">
        <w:r w:rsidRPr="005B550D">
          <w:rPr>
            <w:rFonts w:eastAsia="Times New Roman" w:cstheme="minorHAnsi"/>
            <w:sz w:val="28"/>
            <w:szCs w:val="28"/>
            <w:lang w:eastAsia="sk-SK"/>
          </w:rPr>
          <w:t>Lisabone</w:t>
        </w:r>
      </w:hyperlink>
      <w:r w:rsidRPr="005B550D">
        <w:rPr>
          <w:rFonts w:eastAsia="Times New Roman" w:cstheme="minorHAnsi"/>
          <w:sz w:val="28"/>
          <w:szCs w:val="28"/>
          <w:lang w:eastAsia="sk-SK"/>
        </w:rPr>
        <w:t>, </w:t>
      </w:r>
      <w:hyperlink r:id="rId36" w:tooltip="Londýn" w:history="1">
        <w:r w:rsidRPr="005B550D">
          <w:rPr>
            <w:rFonts w:eastAsia="Times New Roman" w:cstheme="minorHAnsi"/>
            <w:sz w:val="28"/>
            <w:szCs w:val="28"/>
            <w:lang w:eastAsia="sk-SK"/>
          </w:rPr>
          <w:t>Londýne</w:t>
        </w:r>
      </w:hyperlink>
      <w:r w:rsidRPr="005B550D">
        <w:rPr>
          <w:rFonts w:eastAsia="Times New Roman" w:cstheme="minorHAnsi"/>
          <w:sz w:val="28"/>
          <w:szCs w:val="28"/>
          <w:lang w:eastAsia="sk-SK"/>
        </w:rPr>
        <w:t>, </w:t>
      </w:r>
      <w:hyperlink r:id="rId37" w:tooltip="Madrid" w:history="1">
        <w:r w:rsidRPr="005B550D">
          <w:rPr>
            <w:rFonts w:eastAsia="Times New Roman" w:cstheme="minorHAnsi"/>
            <w:sz w:val="28"/>
            <w:szCs w:val="28"/>
            <w:lang w:eastAsia="sk-SK"/>
          </w:rPr>
          <w:t>Madride</w:t>
        </w:r>
      </w:hyperlink>
      <w:r w:rsidRPr="005B550D">
        <w:rPr>
          <w:rFonts w:eastAsia="Times New Roman" w:cstheme="minorHAnsi"/>
          <w:sz w:val="28"/>
          <w:szCs w:val="28"/>
          <w:lang w:eastAsia="sk-SK"/>
        </w:rPr>
        <w:t> a </w:t>
      </w:r>
      <w:hyperlink r:id="rId38" w:tooltip="Rím" w:history="1">
        <w:r w:rsidRPr="005B550D">
          <w:rPr>
            <w:rFonts w:eastAsia="Times New Roman" w:cstheme="minorHAnsi"/>
            <w:sz w:val="28"/>
            <w:szCs w:val="28"/>
            <w:lang w:eastAsia="sk-SK"/>
          </w:rPr>
          <w:t>Ríme</w:t>
        </w:r>
      </w:hyperlink>
      <w:r w:rsidRPr="005B550D">
        <w:rPr>
          <w:rFonts w:eastAsia="Times New Roman" w:cstheme="minorHAnsi"/>
          <w:sz w:val="28"/>
          <w:szCs w:val="28"/>
          <w:lang w:eastAsia="sk-SK"/>
        </w:rPr>
        <w:t>.</w:t>
      </w:r>
    </w:p>
    <w:p w14:paraId="32D8F8B5" w14:textId="77777777" w:rsidR="005B550D" w:rsidRPr="005B550D" w:rsidRDefault="005B550D" w:rsidP="005B550D">
      <w:pPr>
        <w:shd w:val="clear" w:color="auto" w:fill="FFFFFF"/>
        <w:spacing w:before="120" w:after="120" w:line="240" w:lineRule="auto"/>
        <w:ind w:left="384"/>
        <w:rPr>
          <w:rFonts w:eastAsia="Times New Roman" w:cstheme="minorHAnsi"/>
          <w:sz w:val="28"/>
          <w:szCs w:val="28"/>
          <w:lang w:eastAsia="sk-SK"/>
        </w:rPr>
      </w:pPr>
      <w:hyperlink r:id="rId39" w:tooltip="Európsky investičný fond" w:history="1">
        <w:r w:rsidRPr="005B550D">
          <w:rPr>
            <w:rFonts w:eastAsia="Times New Roman" w:cstheme="minorHAnsi"/>
            <w:b/>
            <w:bCs/>
            <w:sz w:val="28"/>
            <w:szCs w:val="28"/>
            <w:lang w:eastAsia="sk-SK"/>
          </w:rPr>
          <w:t>Európsky investičný fond</w:t>
        </w:r>
      </w:hyperlink>
      <w:r w:rsidRPr="005B550D">
        <w:rPr>
          <w:rFonts w:eastAsia="Times New Roman" w:cstheme="minorHAnsi"/>
          <w:sz w:val="28"/>
          <w:szCs w:val="28"/>
          <w:lang w:eastAsia="sk-SK"/>
        </w:rPr>
        <w:t> pomáha s rozširovaním transeurópskych infraštruktúr a poskytuje záruky na pôžičky malým a stredným podnikom. Sídli v </w:t>
      </w:r>
      <w:hyperlink r:id="rId40" w:tooltip="Luxemburg" w:history="1">
        <w:r w:rsidRPr="005B550D">
          <w:rPr>
            <w:rFonts w:eastAsia="Times New Roman" w:cstheme="minorHAnsi"/>
            <w:sz w:val="28"/>
            <w:szCs w:val="28"/>
            <w:lang w:eastAsia="sk-SK"/>
          </w:rPr>
          <w:t>Luxemburgu</w:t>
        </w:r>
      </w:hyperlink>
      <w:r w:rsidRPr="005B550D">
        <w:rPr>
          <w:rFonts w:eastAsia="Times New Roman" w:cstheme="minorHAnsi"/>
          <w:sz w:val="28"/>
          <w:szCs w:val="28"/>
          <w:lang w:eastAsia="sk-SK"/>
        </w:rPr>
        <w:t>.</w:t>
      </w:r>
    </w:p>
    <w:p w14:paraId="48CA18DC" w14:textId="77777777" w:rsidR="005B550D" w:rsidRPr="005B550D" w:rsidRDefault="005B550D" w:rsidP="005B550D">
      <w:pPr>
        <w:shd w:val="clear" w:color="auto" w:fill="FFFFFF"/>
        <w:spacing w:before="120" w:after="120" w:line="240" w:lineRule="auto"/>
        <w:ind w:left="384"/>
        <w:rPr>
          <w:rFonts w:eastAsia="Times New Roman" w:cstheme="minorHAnsi"/>
          <w:sz w:val="28"/>
          <w:szCs w:val="28"/>
          <w:lang w:eastAsia="sk-SK"/>
        </w:rPr>
      </w:pPr>
      <w:hyperlink r:id="rId41" w:tooltip="Európsky ombudsman" w:history="1">
        <w:r w:rsidRPr="005B550D">
          <w:rPr>
            <w:rFonts w:eastAsia="Times New Roman" w:cstheme="minorHAnsi"/>
            <w:b/>
            <w:bCs/>
            <w:sz w:val="28"/>
            <w:szCs w:val="28"/>
            <w:lang w:eastAsia="sk-SK"/>
          </w:rPr>
          <w:t>Európsky ombudsman</w:t>
        </w:r>
      </w:hyperlink>
      <w:r w:rsidRPr="005B550D">
        <w:rPr>
          <w:rFonts w:eastAsia="Times New Roman" w:cstheme="minorHAnsi"/>
          <w:sz w:val="28"/>
          <w:szCs w:val="28"/>
          <w:lang w:eastAsia="sk-SK"/>
        </w:rPr>
        <w:t> sa zaoberá sťažnosťami na činnosť orgánov a inštitúcií EÚ. Sídli v </w:t>
      </w:r>
      <w:hyperlink r:id="rId42" w:tooltip="Štrasburg" w:history="1">
        <w:r w:rsidRPr="005B550D">
          <w:rPr>
            <w:rFonts w:eastAsia="Times New Roman" w:cstheme="minorHAnsi"/>
            <w:sz w:val="28"/>
            <w:szCs w:val="28"/>
            <w:lang w:eastAsia="sk-SK"/>
          </w:rPr>
          <w:t>Štrasburgu</w:t>
        </w:r>
      </w:hyperlink>
      <w:r w:rsidRPr="005B550D">
        <w:rPr>
          <w:rFonts w:eastAsia="Times New Roman" w:cstheme="minorHAnsi"/>
          <w:sz w:val="28"/>
          <w:szCs w:val="28"/>
          <w:lang w:eastAsia="sk-SK"/>
        </w:rPr>
        <w:t>.</w:t>
      </w:r>
    </w:p>
    <w:p w14:paraId="0C289959" w14:textId="77777777" w:rsidR="005B550D" w:rsidRPr="005B550D" w:rsidRDefault="005B550D" w:rsidP="005B550D">
      <w:pPr>
        <w:shd w:val="clear" w:color="auto" w:fill="FFFFFF"/>
        <w:spacing w:before="120" w:after="120" w:line="240" w:lineRule="auto"/>
        <w:ind w:left="384"/>
        <w:rPr>
          <w:rFonts w:eastAsia="Times New Roman" w:cstheme="minorHAnsi"/>
          <w:sz w:val="28"/>
          <w:szCs w:val="28"/>
          <w:lang w:eastAsia="sk-SK"/>
        </w:rPr>
      </w:pPr>
      <w:hyperlink r:id="rId43" w:tooltip="Európska centrálna banka" w:history="1">
        <w:r w:rsidRPr="005B550D">
          <w:rPr>
            <w:rFonts w:eastAsia="Times New Roman" w:cstheme="minorHAnsi"/>
            <w:b/>
            <w:bCs/>
            <w:sz w:val="28"/>
            <w:szCs w:val="28"/>
            <w:lang w:eastAsia="sk-SK"/>
          </w:rPr>
          <w:t>Európska centrálna banka</w:t>
        </w:r>
      </w:hyperlink>
      <w:r w:rsidRPr="005B550D">
        <w:rPr>
          <w:rFonts w:eastAsia="Times New Roman" w:cstheme="minorHAnsi"/>
          <w:sz w:val="28"/>
          <w:szCs w:val="28"/>
          <w:lang w:eastAsia="sk-SK"/>
        </w:rPr>
        <w:t> je kľúčovou inštitúciou pre činnosť </w:t>
      </w:r>
      <w:hyperlink r:id="rId44" w:tooltip="Európska menová únia" w:history="1">
        <w:r w:rsidRPr="005B550D">
          <w:rPr>
            <w:rFonts w:eastAsia="Times New Roman" w:cstheme="minorHAnsi"/>
            <w:sz w:val="28"/>
            <w:szCs w:val="28"/>
            <w:lang w:eastAsia="sk-SK"/>
          </w:rPr>
          <w:t>Európskej menovej únie</w:t>
        </w:r>
      </w:hyperlink>
      <w:r w:rsidRPr="005B550D">
        <w:rPr>
          <w:rFonts w:eastAsia="Times New Roman" w:cstheme="minorHAnsi"/>
          <w:sz w:val="28"/>
          <w:szCs w:val="28"/>
          <w:lang w:eastAsia="sk-SK"/>
        </w:rPr>
        <w:t>. Sídli vo </w:t>
      </w:r>
      <w:hyperlink r:id="rId45" w:tooltip="Frankfurt nad Mohanom" w:history="1">
        <w:r w:rsidRPr="005B550D">
          <w:rPr>
            <w:rFonts w:eastAsia="Times New Roman" w:cstheme="minorHAnsi"/>
            <w:sz w:val="28"/>
            <w:szCs w:val="28"/>
            <w:lang w:eastAsia="sk-SK"/>
          </w:rPr>
          <w:t>Frankfurte nad Mohanom</w:t>
        </w:r>
      </w:hyperlink>
      <w:r w:rsidRPr="005B550D">
        <w:rPr>
          <w:rFonts w:eastAsia="Times New Roman" w:cstheme="minorHAnsi"/>
          <w:sz w:val="28"/>
          <w:szCs w:val="28"/>
          <w:lang w:eastAsia="sk-SK"/>
        </w:rPr>
        <w:t>.</w:t>
      </w:r>
    </w:p>
    <w:p w14:paraId="0C8FB49E" w14:textId="77777777" w:rsidR="005B550D" w:rsidRPr="005B550D" w:rsidRDefault="005B550D" w:rsidP="005B550D">
      <w:pPr>
        <w:shd w:val="clear" w:color="auto" w:fill="FFFFFF"/>
        <w:spacing w:before="120" w:after="120" w:line="240" w:lineRule="auto"/>
        <w:ind w:left="384"/>
        <w:rPr>
          <w:rFonts w:eastAsia="Times New Roman" w:cstheme="minorHAnsi"/>
          <w:sz w:val="28"/>
          <w:szCs w:val="28"/>
          <w:lang w:eastAsia="sk-SK"/>
        </w:rPr>
      </w:pPr>
      <w:r w:rsidRPr="005B550D">
        <w:rPr>
          <w:rFonts w:eastAsia="Times New Roman" w:cstheme="minorHAnsi"/>
          <w:sz w:val="28"/>
          <w:szCs w:val="28"/>
          <w:lang w:eastAsia="sk-SK"/>
        </w:rPr>
        <w:t>Významné poradné a konzultatívne orgány Európskej únie sú </w:t>
      </w:r>
      <w:hyperlink r:id="rId46" w:tooltip="Hospodársky a sociálny výbor" w:history="1">
        <w:r w:rsidRPr="005B550D">
          <w:rPr>
            <w:rFonts w:eastAsia="Times New Roman" w:cstheme="minorHAnsi"/>
            <w:b/>
            <w:bCs/>
            <w:sz w:val="28"/>
            <w:szCs w:val="28"/>
            <w:lang w:eastAsia="sk-SK"/>
          </w:rPr>
          <w:t>Hospodársky a sociálny výbor</w:t>
        </w:r>
      </w:hyperlink>
      <w:r w:rsidRPr="005B550D">
        <w:rPr>
          <w:rFonts w:eastAsia="Times New Roman" w:cstheme="minorHAnsi"/>
          <w:sz w:val="28"/>
          <w:szCs w:val="28"/>
          <w:lang w:eastAsia="sk-SK"/>
        </w:rPr>
        <w:t> a </w:t>
      </w:r>
      <w:hyperlink r:id="rId47" w:tooltip="Výbor regiónov" w:history="1">
        <w:r w:rsidRPr="005B550D">
          <w:rPr>
            <w:rFonts w:eastAsia="Times New Roman" w:cstheme="minorHAnsi"/>
            <w:b/>
            <w:bCs/>
            <w:sz w:val="28"/>
            <w:szCs w:val="28"/>
            <w:lang w:eastAsia="sk-SK"/>
          </w:rPr>
          <w:t>Výbor regiónov</w:t>
        </w:r>
      </w:hyperlink>
      <w:r w:rsidRPr="005B550D">
        <w:rPr>
          <w:rFonts w:eastAsia="Times New Roman" w:cstheme="minorHAnsi"/>
          <w:sz w:val="28"/>
          <w:szCs w:val="28"/>
          <w:lang w:eastAsia="sk-SK"/>
        </w:rPr>
        <w:t>.</w:t>
      </w:r>
    </w:p>
    <w:p w14:paraId="36A47D24" w14:textId="0010B73E" w:rsidR="00706B1D" w:rsidRPr="005B550D" w:rsidRDefault="00706B1D" w:rsidP="00706B1D">
      <w:pPr>
        <w:pStyle w:val="NormalWeb"/>
        <w:shd w:val="clear" w:color="auto" w:fill="FFFFFF"/>
        <w:spacing w:before="120" w:beforeAutospacing="0" w:after="120" w:afterAutospacing="0"/>
        <w:rPr>
          <w:rFonts w:asciiTheme="minorHAnsi" w:hAnsiTheme="minorHAnsi" w:cstheme="minorHAnsi"/>
          <w:sz w:val="28"/>
          <w:szCs w:val="28"/>
        </w:rPr>
      </w:pPr>
    </w:p>
    <w:p w14:paraId="0EF141C1" w14:textId="77777777" w:rsidR="00706B1D" w:rsidRPr="005B550D" w:rsidRDefault="00706B1D" w:rsidP="00102C95">
      <w:pPr>
        <w:pStyle w:val="NormalWeb"/>
        <w:shd w:val="clear" w:color="auto" w:fill="FFFFFF"/>
        <w:spacing w:before="0" w:beforeAutospacing="0" w:after="270" w:afterAutospacing="0"/>
        <w:rPr>
          <w:rFonts w:asciiTheme="minorHAnsi" w:hAnsiTheme="minorHAnsi" w:cstheme="minorHAnsi"/>
          <w:sz w:val="28"/>
          <w:szCs w:val="28"/>
        </w:rPr>
      </w:pPr>
    </w:p>
    <w:p w14:paraId="23E84575" w14:textId="77777777" w:rsidR="002B51DB" w:rsidRPr="00706B1D" w:rsidRDefault="002B51DB"/>
    <w:sectPr w:rsidR="002B51DB" w:rsidRPr="00706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8E"/>
    <w:rsid w:val="00102C95"/>
    <w:rsid w:val="002B51DB"/>
    <w:rsid w:val="005B550D"/>
    <w:rsid w:val="00706B1D"/>
    <w:rsid w:val="00BD1C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945C"/>
  <w15:chartTrackingRefBased/>
  <w15:docId w15:val="{F2A673BB-EF66-40A3-BEEF-1748C28B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C95"/>
  </w:style>
  <w:style w:type="paragraph" w:styleId="Heading2">
    <w:name w:val="heading 2"/>
    <w:basedOn w:val="Normal"/>
    <w:next w:val="Normal"/>
    <w:link w:val="Heading2Char"/>
    <w:uiPriority w:val="9"/>
    <w:semiHidden/>
    <w:unhideWhenUsed/>
    <w:qFormat/>
    <w:rsid w:val="005B55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2C9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link">
    <w:name w:val="Hyperlink"/>
    <w:basedOn w:val="DefaultParagraphFont"/>
    <w:uiPriority w:val="99"/>
    <w:semiHidden/>
    <w:unhideWhenUsed/>
    <w:rsid w:val="00706B1D"/>
    <w:rPr>
      <w:color w:val="0000FF"/>
      <w:u w:val="single"/>
    </w:rPr>
  </w:style>
  <w:style w:type="character" w:customStyle="1" w:styleId="Heading2Char">
    <w:name w:val="Heading 2 Char"/>
    <w:basedOn w:val="DefaultParagraphFont"/>
    <w:link w:val="Heading2"/>
    <w:uiPriority w:val="9"/>
    <w:semiHidden/>
    <w:rsid w:val="005B55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208925">
      <w:bodyDiv w:val="1"/>
      <w:marLeft w:val="0"/>
      <w:marRight w:val="0"/>
      <w:marTop w:val="0"/>
      <w:marBottom w:val="0"/>
      <w:divBdr>
        <w:top w:val="none" w:sz="0" w:space="0" w:color="auto"/>
        <w:left w:val="none" w:sz="0" w:space="0" w:color="auto"/>
        <w:bottom w:val="none" w:sz="0" w:space="0" w:color="auto"/>
        <w:right w:val="none" w:sz="0" w:space="0" w:color="auto"/>
      </w:divBdr>
      <w:divsChild>
        <w:div w:id="2060937784">
          <w:marLeft w:val="0"/>
          <w:marRight w:val="0"/>
          <w:marTop w:val="0"/>
          <w:marBottom w:val="0"/>
          <w:divBdr>
            <w:top w:val="none" w:sz="0" w:space="0" w:color="auto"/>
            <w:left w:val="none" w:sz="0" w:space="0" w:color="auto"/>
            <w:bottom w:val="none" w:sz="0" w:space="0" w:color="auto"/>
            <w:right w:val="none" w:sz="0" w:space="0" w:color="auto"/>
          </w:divBdr>
        </w:div>
        <w:div w:id="1971130401">
          <w:marLeft w:val="336"/>
          <w:marRight w:val="0"/>
          <w:marTop w:val="120"/>
          <w:marBottom w:val="312"/>
          <w:divBdr>
            <w:top w:val="none" w:sz="0" w:space="0" w:color="auto"/>
            <w:left w:val="none" w:sz="0" w:space="0" w:color="auto"/>
            <w:bottom w:val="none" w:sz="0" w:space="0" w:color="auto"/>
            <w:right w:val="none" w:sz="0" w:space="0" w:color="auto"/>
          </w:divBdr>
          <w:divsChild>
            <w:div w:id="2672058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8089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k.wikipedia.org/wiki/Rada_Eur%C3%B3pskej_%C3%BAnie" TargetMode="External"/><Relationship Id="rId18" Type="http://schemas.openxmlformats.org/officeDocument/2006/relationships/hyperlink" Target="https://sk.wikipedia.org/wiki/Eur%C3%B3pska_komisia" TargetMode="External"/><Relationship Id="rId26" Type="http://schemas.openxmlformats.org/officeDocument/2006/relationships/hyperlink" Target="https://sk.wikipedia.org/wiki/Eur%C3%B3pska_rada" TargetMode="External"/><Relationship Id="rId39" Type="http://schemas.openxmlformats.org/officeDocument/2006/relationships/hyperlink" Target="https://sk.wikipedia.org/wiki/Eur%C3%B3psky_investi%C4%8Dn%C3%BD_fond" TargetMode="External"/><Relationship Id="rId3" Type="http://schemas.openxmlformats.org/officeDocument/2006/relationships/webSettings" Target="webSettings.xml"/><Relationship Id="rId21" Type="http://schemas.openxmlformats.org/officeDocument/2006/relationships/hyperlink" Target="https://sk.wikipedia.org/wiki/Eur%C3%B3pska_komisia" TargetMode="External"/><Relationship Id="rId34" Type="http://schemas.openxmlformats.org/officeDocument/2006/relationships/hyperlink" Target="https://sk.wikipedia.org/wiki/At%C3%A9ny" TargetMode="External"/><Relationship Id="rId42" Type="http://schemas.openxmlformats.org/officeDocument/2006/relationships/hyperlink" Target="https://sk.wikipedia.org/wiki/%C5%A0trasburg" TargetMode="External"/><Relationship Id="rId47" Type="http://schemas.openxmlformats.org/officeDocument/2006/relationships/hyperlink" Target="https://sk.wikipedia.org/wiki/V%C3%BDbor_regi%C3%B3nov" TargetMode="External"/><Relationship Id="rId7" Type="http://schemas.openxmlformats.org/officeDocument/2006/relationships/hyperlink" Target="https://sk.wikipedia.org/wiki/1993" TargetMode="External"/><Relationship Id="rId12" Type="http://schemas.openxmlformats.org/officeDocument/2006/relationships/hyperlink" Target="https://sk.wikipedia.org/wiki/%C5%BDivotn%C3%A9_prostredie" TargetMode="External"/><Relationship Id="rId17" Type="http://schemas.openxmlformats.org/officeDocument/2006/relationships/hyperlink" Target="https://sk.wikipedia.org/wiki/Predsedn%C3%ADctvo_Rady_E%C3%9A" TargetMode="External"/><Relationship Id="rId25" Type="http://schemas.openxmlformats.org/officeDocument/2006/relationships/hyperlink" Target="https://sk.wikipedia.org/wiki/Luxemburg" TargetMode="External"/><Relationship Id="rId33" Type="http://schemas.openxmlformats.org/officeDocument/2006/relationships/hyperlink" Target="https://sk.wikipedia.org/wiki/Luxembursko" TargetMode="External"/><Relationship Id="rId38" Type="http://schemas.openxmlformats.org/officeDocument/2006/relationships/hyperlink" Target="https://sk.wikipedia.org/wiki/R%C3%ADm" TargetMode="External"/><Relationship Id="rId46" Type="http://schemas.openxmlformats.org/officeDocument/2006/relationships/hyperlink" Target="https://sk.wikipedia.org/wiki/Hospod%C3%A1rsky_a_soci%C3%A1lny_v%C3%BDbor" TargetMode="External"/><Relationship Id="rId2" Type="http://schemas.openxmlformats.org/officeDocument/2006/relationships/settings" Target="settings.xml"/><Relationship Id="rId16" Type="http://schemas.openxmlformats.org/officeDocument/2006/relationships/hyperlink" Target="https://sk.wikipedia.org/wiki/Luxemburg" TargetMode="External"/><Relationship Id="rId20" Type="http://schemas.openxmlformats.org/officeDocument/2006/relationships/hyperlink" Target="https://sk.wikipedia.org/wiki/Eur%C3%B3psky_parlament" TargetMode="External"/><Relationship Id="rId29" Type="http://schemas.openxmlformats.org/officeDocument/2006/relationships/hyperlink" Target="https://sk.wikipedia.org/wiki/Eur%C3%B3pska_komisia" TargetMode="External"/><Relationship Id="rId41" Type="http://schemas.openxmlformats.org/officeDocument/2006/relationships/hyperlink" Target="https://sk.wikipedia.org/wiki/Eur%C3%B3psky_ombudsman" TargetMode="External"/><Relationship Id="rId1" Type="http://schemas.openxmlformats.org/officeDocument/2006/relationships/styles" Target="styles.xml"/><Relationship Id="rId6" Type="http://schemas.openxmlformats.org/officeDocument/2006/relationships/hyperlink" Target="https://sk.wikipedia.org/wiki/Zmluva_o_zalo%C5%BEen%C3%AD_Eur%C3%B3pskeho_spolo%C4%8Denstva_uhlia_a_ocele" TargetMode="External"/><Relationship Id="rId11" Type="http://schemas.openxmlformats.org/officeDocument/2006/relationships/hyperlink" Target="https://sk.wikipedia.org/wiki/Zoznam_in%C5%A1tit%C3%BAci%C3%AD_a_org%C3%A1nov_Eur%C3%B3pskej_%C3%BAnie" TargetMode="External"/><Relationship Id="rId24" Type="http://schemas.openxmlformats.org/officeDocument/2006/relationships/hyperlink" Target="https://sk.wikipedia.org/wiki/Brusel" TargetMode="External"/><Relationship Id="rId32" Type="http://schemas.openxmlformats.org/officeDocument/2006/relationships/hyperlink" Target="https://sk.wikipedia.org/wiki/Eur%C3%B3pska_investi%C4%8Dn%C3%A1_banka" TargetMode="External"/><Relationship Id="rId37" Type="http://schemas.openxmlformats.org/officeDocument/2006/relationships/hyperlink" Target="https://sk.wikipedia.org/wiki/Madrid" TargetMode="External"/><Relationship Id="rId40" Type="http://schemas.openxmlformats.org/officeDocument/2006/relationships/hyperlink" Target="https://sk.wikipedia.org/wiki/Luxemburg" TargetMode="External"/><Relationship Id="rId45" Type="http://schemas.openxmlformats.org/officeDocument/2006/relationships/hyperlink" Target="https://sk.wikipedia.org/wiki/Frankfurt_nad_Mohanom" TargetMode="External"/><Relationship Id="rId5" Type="http://schemas.openxmlformats.org/officeDocument/2006/relationships/hyperlink" Target="https://sk.wikipedia.org/wiki/Eur%C3%B3pske_spolo%C4%8Denstvo_pre_uhlie_a_oce%C4%BE" TargetMode="External"/><Relationship Id="rId15" Type="http://schemas.openxmlformats.org/officeDocument/2006/relationships/hyperlink" Target="https://sk.wikipedia.org/wiki/Brusel" TargetMode="External"/><Relationship Id="rId23" Type="http://schemas.openxmlformats.org/officeDocument/2006/relationships/hyperlink" Target="https://sk.wikipedia.org/wiki/%C5%A0trasburg" TargetMode="External"/><Relationship Id="rId28" Type="http://schemas.openxmlformats.org/officeDocument/2006/relationships/hyperlink" Target="https://sk.wikipedia.org/wiki/Rada_Eur%C3%B3py" TargetMode="External"/><Relationship Id="rId36" Type="http://schemas.openxmlformats.org/officeDocument/2006/relationships/hyperlink" Target="https://sk.wikipedia.org/wiki/Lond%C3%BDn" TargetMode="External"/><Relationship Id="rId49" Type="http://schemas.openxmlformats.org/officeDocument/2006/relationships/theme" Target="theme/theme1.xml"/><Relationship Id="rId10" Type="http://schemas.openxmlformats.org/officeDocument/2006/relationships/hyperlink" Target="https://sk.wikipedia.org/wiki/1992" TargetMode="External"/><Relationship Id="rId19" Type="http://schemas.openxmlformats.org/officeDocument/2006/relationships/hyperlink" Target="https://sk.wikipedia.org/wiki/Brusel" TargetMode="External"/><Relationship Id="rId31" Type="http://schemas.openxmlformats.org/officeDocument/2006/relationships/hyperlink" Target="https://sk.wikipedia.org/wiki/Luxemburg" TargetMode="External"/><Relationship Id="rId44" Type="http://schemas.openxmlformats.org/officeDocument/2006/relationships/hyperlink" Target="https://sk.wikipedia.org/wiki/Eur%C3%B3pska_menov%C3%A1_%C3%BAnia" TargetMode="External"/><Relationship Id="rId4" Type="http://schemas.openxmlformats.org/officeDocument/2006/relationships/hyperlink" Target="https://sk.wikipedia.org/wiki/%C4%8Clenovia_Eur%C3%B3pskej_%C3%BAnie" TargetMode="External"/><Relationship Id="rId9" Type="http://schemas.openxmlformats.org/officeDocument/2006/relationships/hyperlink" Target="https://sk.wikipedia.org/wiki/Zmluva_o_Eur%C3%B3pskej_%C3%BAnii" TargetMode="External"/><Relationship Id="rId14" Type="http://schemas.openxmlformats.org/officeDocument/2006/relationships/hyperlink" Target="https://sk.wikipedia.org/wiki/Eur%C3%B3pska_komisia" TargetMode="External"/><Relationship Id="rId22" Type="http://schemas.openxmlformats.org/officeDocument/2006/relationships/hyperlink" Target="https://sk.wikipedia.org/wiki/Poslanec_Eur%C3%B3pskeho_parlamentu" TargetMode="External"/><Relationship Id="rId27" Type="http://schemas.openxmlformats.org/officeDocument/2006/relationships/hyperlink" Target="https://sk.wikipedia.org/wiki/Rada_Eur%C3%B3pskej_%C3%BAnie" TargetMode="External"/><Relationship Id="rId30" Type="http://schemas.openxmlformats.org/officeDocument/2006/relationships/hyperlink" Target="https://sk.wikipedia.org/wiki/S%C3%BAdny_dvor_Eur%C3%B3pskych_spolo%C4%8Denstiev" TargetMode="External"/><Relationship Id="rId35" Type="http://schemas.openxmlformats.org/officeDocument/2006/relationships/hyperlink" Target="https://sk.wikipedia.org/wiki/Lisabon" TargetMode="External"/><Relationship Id="rId43" Type="http://schemas.openxmlformats.org/officeDocument/2006/relationships/hyperlink" Target="https://sk.wikipedia.org/wiki/Eur%C3%B3pska_centr%C3%A1lna_banka" TargetMode="External"/><Relationship Id="rId48" Type="http://schemas.openxmlformats.org/officeDocument/2006/relationships/fontTable" Target="fontTable.xml"/><Relationship Id="rId8" Type="http://schemas.openxmlformats.org/officeDocument/2006/relationships/hyperlink" Target="https://sk.wikipedia.org/wiki/Zmluva_o_Eur%C3%B3pskej_%C3%BAn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Kraviar</dc:creator>
  <cp:keywords/>
  <dc:description/>
  <cp:lastModifiedBy>Miroslav Kraviar</cp:lastModifiedBy>
  <cp:revision>2</cp:revision>
  <dcterms:created xsi:type="dcterms:W3CDTF">2020-05-22T04:01:00Z</dcterms:created>
  <dcterms:modified xsi:type="dcterms:W3CDTF">2020-05-22T04:36:00Z</dcterms:modified>
</cp:coreProperties>
</file>