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52" w:rsidRDefault="00903E52" w:rsidP="00903E52">
      <w:pPr>
        <w:pStyle w:val="Nadpis2"/>
        <w:shd w:val="clear" w:color="auto" w:fill="FFFFFF"/>
        <w:spacing w:before="0" w:beforeAutospacing="0"/>
      </w:pPr>
      <w:r>
        <w:rPr>
          <w:color w:val="000080"/>
        </w:rPr>
        <w:t>Trojuholník - základné pojmy</w:t>
      </w:r>
      <w:hyperlink r:id="rId5" w:tooltip="Predchádzajúci: Vnútorné uhly trojuholníka" w:history="1"/>
      <w:hyperlink r:id="rId6" w:tooltip="Nasledujúci: Rozdelenie podľa veľkostí strán" w:history="1"/>
    </w:p>
    <w:p w:rsidR="00903E52" w:rsidRDefault="00903E52" w:rsidP="00903E52">
      <w:pPr>
        <w:pStyle w:val="Nadpis3"/>
        <w:shd w:val="clear" w:color="auto" w:fill="FFFFFF"/>
        <w:spacing w:before="0" w:beforeAutospacing="0"/>
        <w:rPr>
          <w:rFonts w:ascii="inherit" w:hAnsi="inherit" w:cs="Segoe UI"/>
          <w:b w:val="0"/>
          <w:bCs w:val="0"/>
          <w:color w:val="212529"/>
        </w:rPr>
      </w:pPr>
      <w:r>
        <w:rPr>
          <w:rFonts w:ascii="inherit" w:hAnsi="inherit" w:cs="Segoe UI"/>
          <w:b w:val="0"/>
          <w:bCs w:val="0"/>
          <w:color w:val="212529"/>
        </w:rPr>
        <w:t>Druhy trojuholníkov</w:t>
      </w:r>
    </w:p>
    <w:p w:rsidR="00903E52" w:rsidRDefault="00903E52" w:rsidP="00903E52">
      <w:pPr>
        <w:shd w:val="clear" w:color="auto" w:fill="F0FFFF"/>
        <w:spacing w:line="489" w:lineRule="atLeast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Trojuholníky môžeme rozčleniť podľa viacerých kritérií, napríklad podľa:</w:t>
      </w:r>
    </w:p>
    <w:p w:rsidR="00903E52" w:rsidRDefault="00903E52" w:rsidP="00903E52">
      <w:pPr>
        <w:numPr>
          <w:ilvl w:val="0"/>
          <w:numId w:val="1"/>
        </w:numPr>
        <w:shd w:val="clear" w:color="auto" w:fill="F0FFFF"/>
        <w:spacing w:before="100" w:beforeAutospacing="1" w:after="100" w:afterAutospacing="1" w:line="489" w:lineRule="atLeast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dĺžky jeho strán</w:t>
      </w:r>
    </w:p>
    <w:p w:rsidR="00903E52" w:rsidRDefault="00903E52" w:rsidP="00903E52">
      <w:pPr>
        <w:numPr>
          <w:ilvl w:val="0"/>
          <w:numId w:val="1"/>
        </w:numPr>
        <w:shd w:val="clear" w:color="auto" w:fill="F0FFFF"/>
        <w:spacing w:before="100" w:beforeAutospacing="1" w:after="100" w:afterAutospacing="1" w:line="489" w:lineRule="atLeast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veľkosti najväčšieho vnútorného uhla.</w:t>
      </w:r>
    </w:p>
    <w:p w:rsidR="00903E52" w:rsidRDefault="00903E52" w:rsidP="00903E52">
      <w:pPr>
        <w:shd w:val="clear" w:color="auto" w:fill="FFFFE0"/>
        <w:spacing w:line="424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Vzhľadom na dĺžky (veľkosti) strán v danom trojuholníku rozdeľujeme trojuholníky do troch skupín</w:t>
      </w:r>
    </w:p>
    <w:p w:rsidR="00903E52" w:rsidRDefault="00903E52" w:rsidP="00903E52">
      <w:pPr>
        <w:numPr>
          <w:ilvl w:val="0"/>
          <w:numId w:val="2"/>
        </w:numPr>
        <w:shd w:val="clear" w:color="auto" w:fill="FFFFE0"/>
        <w:spacing w:before="100" w:beforeAutospacing="1" w:after="100" w:afterAutospacing="1" w:line="424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80"/>
          <w:sz w:val="26"/>
          <w:szCs w:val="26"/>
        </w:rPr>
        <w:t>Rovnostranný </w:t>
      </w:r>
      <w:r>
        <w:rPr>
          <w:rFonts w:ascii="Calibri" w:hAnsi="Calibri" w:cs="Calibri"/>
          <w:color w:val="000000"/>
          <w:sz w:val="26"/>
          <w:szCs w:val="26"/>
        </w:rPr>
        <w:t>trojuholník - všetky strany trojuholníka majú rovnakú dĺžku (sú navzájom zhodné). </w:t>
      </w:r>
    </w:p>
    <w:p w:rsidR="00903E52" w:rsidRDefault="00903E52" w:rsidP="00903E52">
      <w:pPr>
        <w:numPr>
          <w:ilvl w:val="0"/>
          <w:numId w:val="2"/>
        </w:numPr>
        <w:shd w:val="clear" w:color="auto" w:fill="FFFFE0"/>
        <w:spacing w:before="100" w:beforeAutospacing="1" w:after="100" w:afterAutospacing="1" w:line="424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80"/>
          <w:sz w:val="26"/>
          <w:szCs w:val="26"/>
        </w:rPr>
        <w:t>Rovnoramenný </w:t>
      </w:r>
      <w:r>
        <w:rPr>
          <w:rFonts w:ascii="Calibri" w:hAnsi="Calibri" w:cs="Calibri"/>
          <w:color w:val="000000"/>
          <w:sz w:val="26"/>
          <w:szCs w:val="26"/>
        </w:rPr>
        <w:t>trojuholník - práve (len) dve strany rovnakej dĺžky (sú navzájom zhodné).</w:t>
      </w:r>
    </w:p>
    <w:p w:rsidR="00903E52" w:rsidRDefault="00903E52" w:rsidP="00903E52">
      <w:pPr>
        <w:numPr>
          <w:ilvl w:val="0"/>
          <w:numId w:val="2"/>
        </w:numPr>
        <w:shd w:val="clear" w:color="auto" w:fill="FFFFE0"/>
        <w:spacing w:before="100" w:beforeAutospacing="1" w:after="100" w:afterAutospacing="1" w:line="424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80"/>
          <w:sz w:val="26"/>
          <w:szCs w:val="26"/>
        </w:rPr>
        <w:t>Rôznostranný </w:t>
      </w:r>
      <w:r>
        <w:rPr>
          <w:rFonts w:ascii="Calibri" w:hAnsi="Calibri" w:cs="Calibri"/>
          <w:color w:val="000000"/>
          <w:sz w:val="26"/>
          <w:szCs w:val="26"/>
        </w:rPr>
        <w:t>trojuholník - všetky strany majú rozličnú dĺžku (žiadne dve strany trojuholníka nie sú zhodné).</w:t>
      </w:r>
    </w:p>
    <w:p w:rsidR="00903E52" w:rsidRDefault="004C055B" w:rsidP="00903E52">
      <w:pPr>
        <w:pStyle w:val="Normlnywebov"/>
        <w:shd w:val="clear" w:color="auto" w:fill="FFFFFF"/>
        <w:spacing w:before="0" w:beforeAutospacing="0"/>
        <w:jc w:val="center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noProof/>
          <w:color w:val="000000"/>
          <w:sz w:val="22"/>
          <w:szCs w:val="22"/>
        </w:rPr>
        <w:drawing>
          <wp:inline distT="0" distB="0" distL="0" distR="0">
            <wp:extent cx="4184015" cy="1190625"/>
            <wp:effectExtent l="19050" t="0" r="6985" b="0"/>
            <wp:docPr id="1" name="Obrázok 1" descr="TrojuholnikyPodlaS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juholnikyPodlaStra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2" w:rsidRDefault="00903E52" w:rsidP="00903E52">
      <w:pPr>
        <w:shd w:val="clear" w:color="auto" w:fill="FFFFE0"/>
        <w:spacing w:line="424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Vzhľadom na veľkosti veľkosti najväčšieho vnútorného uhla rozdeľujeme trojuholníky do troch skupín</w:t>
      </w:r>
    </w:p>
    <w:p w:rsidR="00903E52" w:rsidRDefault="00903E52" w:rsidP="00903E52">
      <w:pPr>
        <w:numPr>
          <w:ilvl w:val="0"/>
          <w:numId w:val="3"/>
        </w:numPr>
        <w:shd w:val="clear" w:color="auto" w:fill="FFFFE0"/>
        <w:spacing w:before="100" w:beforeAutospacing="1" w:after="100" w:afterAutospacing="1" w:line="424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80"/>
          <w:sz w:val="26"/>
          <w:szCs w:val="26"/>
        </w:rPr>
        <w:t>Ostrouhlý </w:t>
      </w:r>
      <w:r>
        <w:rPr>
          <w:rFonts w:ascii="Calibri" w:hAnsi="Calibri" w:cs="Calibri"/>
          <w:color w:val="000000"/>
          <w:sz w:val="26"/>
          <w:szCs w:val="26"/>
        </w:rPr>
        <w:t>trojuholník – má všetky vnútorné uhly menšie ako 90° (tri ostré uhly).</w:t>
      </w:r>
    </w:p>
    <w:p w:rsidR="00903E52" w:rsidRDefault="00903E52" w:rsidP="00903E52">
      <w:pPr>
        <w:numPr>
          <w:ilvl w:val="0"/>
          <w:numId w:val="3"/>
        </w:numPr>
        <w:shd w:val="clear" w:color="auto" w:fill="FFFFE0"/>
        <w:spacing w:before="100" w:beforeAutospacing="1" w:after="100" w:afterAutospacing="1" w:line="424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80"/>
          <w:sz w:val="26"/>
          <w:szCs w:val="26"/>
        </w:rPr>
        <w:t>Pravouhlý </w:t>
      </w:r>
      <w:r>
        <w:rPr>
          <w:rFonts w:ascii="Calibri" w:hAnsi="Calibri" w:cs="Calibri"/>
          <w:color w:val="000000"/>
          <w:sz w:val="26"/>
          <w:szCs w:val="26"/>
        </w:rPr>
        <w:t>trojuholník – má práve jeden vnútorný uhol s veľkosťou 90° (jeden pravý uhol). </w:t>
      </w:r>
    </w:p>
    <w:p w:rsidR="00903E52" w:rsidRDefault="00903E52" w:rsidP="00903E52">
      <w:pPr>
        <w:numPr>
          <w:ilvl w:val="0"/>
          <w:numId w:val="3"/>
        </w:numPr>
        <w:shd w:val="clear" w:color="auto" w:fill="FFFFE0"/>
        <w:spacing w:before="100" w:beforeAutospacing="1" w:after="100" w:afterAutospacing="1" w:line="424" w:lineRule="atLeast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80"/>
          <w:sz w:val="26"/>
          <w:szCs w:val="26"/>
        </w:rPr>
        <w:t>Tupouhlý </w:t>
      </w:r>
      <w:r>
        <w:rPr>
          <w:rFonts w:ascii="Calibri" w:hAnsi="Calibri" w:cs="Calibri"/>
          <w:color w:val="000000"/>
          <w:sz w:val="26"/>
          <w:szCs w:val="26"/>
        </w:rPr>
        <w:t>trojuholník – má práve jeden vnútorný uhol väčší ako 90° (tupý uhol) a ostatné uhly má ostré. </w:t>
      </w:r>
    </w:p>
    <w:p w:rsidR="00E85747" w:rsidRDefault="004C055B" w:rsidP="00903E52">
      <w:pPr>
        <w:pStyle w:val="Normlnywebov"/>
        <w:shd w:val="clear" w:color="auto" w:fill="FFFFFF"/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4761865" cy="1311275"/>
            <wp:effectExtent l="19050" t="0" r="635" b="0"/>
            <wp:docPr id="2" name="Obrázok 2" descr="TrojuholnikyPodlaUh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juholnikyPodlaUhlo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747" w:rsidSect="00903E52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360"/>
    <w:multiLevelType w:val="multilevel"/>
    <w:tmpl w:val="4EC8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A5A4C"/>
    <w:multiLevelType w:val="multilevel"/>
    <w:tmpl w:val="CCD6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93A7D"/>
    <w:multiLevelType w:val="multilevel"/>
    <w:tmpl w:val="F920FF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257EE"/>
    <w:multiLevelType w:val="multilevel"/>
    <w:tmpl w:val="13D66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D3D85"/>
    <w:multiLevelType w:val="multilevel"/>
    <w:tmpl w:val="93189F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/>
  <w:rsids>
    <w:rsidRoot w:val="00903E52"/>
    <w:rsid w:val="004C055B"/>
    <w:rsid w:val="007D1022"/>
    <w:rsid w:val="008C3F84"/>
    <w:rsid w:val="00903E52"/>
    <w:rsid w:val="00E8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qFormat/>
    <w:rsid w:val="00903E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qFormat/>
    <w:rsid w:val="00903E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basedOn w:val="Predvolenpsmoodseku"/>
    <w:rsid w:val="00903E52"/>
    <w:rPr>
      <w:color w:val="0000FF"/>
      <w:u w:val="single"/>
    </w:rPr>
  </w:style>
  <w:style w:type="character" w:customStyle="1" w:styleId="filtermathjaxloaderequation">
    <w:name w:val="filter_mathjaxloader_equation"/>
    <w:basedOn w:val="Predvolenpsmoodseku"/>
    <w:rsid w:val="00903E52"/>
  </w:style>
  <w:style w:type="paragraph" w:styleId="Normlnywebov">
    <w:name w:val="Normal (Web)"/>
    <w:basedOn w:val="Normlny"/>
    <w:rsid w:val="00903E52"/>
    <w:pPr>
      <w:spacing w:before="100" w:beforeAutospacing="1" w:after="100" w:afterAutospacing="1"/>
    </w:pPr>
  </w:style>
  <w:style w:type="character" w:customStyle="1" w:styleId="mi">
    <w:name w:val="mi"/>
    <w:basedOn w:val="Predvolenpsmoodseku"/>
    <w:rsid w:val="00903E52"/>
  </w:style>
  <w:style w:type="character" w:customStyle="1" w:styleId="mo">
    <w:name w:val="mo"/>
    <w:basedOn w:val="Predvolenpsmoodseku"/>
    <w:rsid w:val="00903E52"/>
  </w:style>
  <w:style w:type="character" w:customStyle="1" w:styleId="mjxassistivemathml">
    <w:name w:val="mjx_assistive_mathml"/>
    <w:basedOn w:val="Predvolenpsmoodseku"/>
    <w:rsid w:val="00903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551">
              <w:marLeft w:val="272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770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single" w:sz="36" w:space="7" w:color="00FF00"/>
                <w:bottom w:val="none" w:sz="0" w:space="0" w:color="auto"/>
                <w:right w:val="none" w:sz="0" w:space="0" w:color="auto"/>
              </w:divBdr>
            </w:div>
            <w:div w:id="86737450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6661">
              <w:marLeft w:val="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931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594">
                      <w:marLeft w:val="4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873136">
              <w:marLeft w:val="272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92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526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7826">
              <w:marLeft w:val="815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078">
              <w:marLeft w:val="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977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9333">
                      <w:marLeft w:val="4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213288">
              <w:marLeft w:val="815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umb.sk/mod/book/view.php?id=76915&amp;chapterid=1723" TargetMode="External"/><Relationship Id="rId5" Type="http://schemas.openxmlformats.org/officeDocument/2006/relationships/hyperlink" Target="https://lms.umb.sk/mod/book/view.php?id=76915&amp;chapterid=23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Trojuholník - základné pojmy</vt:lpstr>
    </vt:vector>
  </TitlesOfParts>
  <Company/>
  <LinksUpToDate>false</LinksUpToDate>
  <CharactersWithSpaces>1194</CharactersWithSpaces>
  <SharedDoc>false</SharedDoc>
  <HLinks>
    <vt:vector size="12" baseType="variant">
      <vt:variant>
        <vt:i4>1507334</vt:i4>
      </vt:variant>
      <vt:variant>
        <vt:i4>3</vt:i4>
      </vt:variant>
      <vt:variant>
        <vt:i4>0</vt:i4>
      </vt:variant>
      <vt:variant>
        <vt:i4>5</vt:i4>
      </vt:variant>
      <vt:variant>
        <vt:lpwstr>https://lms.umb.sk/mod/book/view.php?id=76915&amp;chapterid=1723</vt:lpwstr>
      </vt:variant>
      <vt:variant>
        <vt:lpwstr/>
      </vt:variant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https://lms.umb.sk/mod/book/view.php?id=76915&amp;chapterid=2360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Trojuholník - základné pojmy</dc:title>
  <dc:creator>Pc</dc:creator>
  <cp:lastModifiedBy>Gejza Haller</cp:lastModifiedBy>
  <cp:revision>2</cp:revision>
  <dcterms:created xsi:type="dcterms:W3CDTF">2020-04-22T09:58:00Z</dcterms:created>
  <dcterms:modified xsi:type="dcterms:W3CDTF">2020-04-22T09:58:00Z</dcterms:modified>
</cp:coreProperties>
</file>